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rFonts w:ascii="Arial" w:cs="Arial" w:eastAsia="Arial" w:hAnsi="Arial"/>
          <w:b/>
          <w:bCs/>
          <w:sz w:val="56"/>
          <w:szCs w:val="56"/>
        </w:rPr>
        <w:t xml:space="preserve">AI Plan</w:t>
      </w:r>
    </w:p>
    <w:p>
      <w:pPr>
        <w:spacing w:after="240"/>
        <w:jc w:val="center"/>
      </w:pPr>
      <w:r>
        <w:rPr>
          <w:rFonts w:ascii="Arial" w:cs="Arial" w:eastAsia="Arial" w:hAnsi="Arial"/>
          <w:sz w:val="32"/>
          <w:szCs w:val="32"/>
        </w:rPr>
        <w:t xml:space="preserve">AI Venture under the Innovation Centre</w:t>
      </w:r>
    </w:p>
    <w:p>
      <w:pPr>
        <w:spacing w:after="120"/>
        <w:jc w:val="center"/>
      </w:pPr>
      <w:r>
        <w:rPr>
          <w:rFonts w:ascii="Arial" w:cs="Arial" w:eastAsia="Arial" w:hAnsi="Arial"/>
          <w:i/>
          <w:iCs/>
          <w:sz w:val="24"/>
          <w:szCs w:val="24"/>
        </w:rPr>
        <w:t xml:space="preserve">What we can build — an AI feasibility plan for agentic instruments and agentic systems</w:t>
      </w:r>
    </w:p>
    <w:p>
      <w:pPr>
        <w:spacing w:after="120" w:before="1600"/>
        <w:jc w:val="center"/>
      </w:pPr>
      <w:r>
        <w:rPr>
          <w:rFonts w:ascii="Arial" w:cs="Arial" w:eastAsia="Arial" w:hAnsi="Arial"/>
          <w:sz w:val="22"/>
          <w:szCs w:val="22"/>
        </w:rPr>
        <w:t xml:space="preserve">Prepared by Sơn</w:t>
      </w:r>
    </w:p>
    <w:p>
      <w:pPr>
        <w:spacing w:after="120"/>
        <w:jc w:val="center"/>
      </w:pPr>
      <w:r>
        <w:rPr>
          <w:rFonts w:ascii="Arial" w:cs="Arial" w:eastAsia="Arial" w:hAnsi="Arial"/>
          <w:i/>
          <w:iCs/>
          <w:sz w:val="22"/>
          <w:szCs w:val="22"/>
        </w:rPr>
        <w:t xml:space="preserve">son@bigsmallai.com</w:t>
      </w:r>
    </w:p>
    <w:p>
      <w:pPr>
        <w:spacing w:after="120"/>
        <w:jc w:val="center"/>
      </w:pPr>
      <w:r>
        <w:rPr>
          <w:rFonts w:ascii="Arial" w:cs="Arial" w:eastAsia="Arial" w:hAnsi="Arial"/>
          <w:sz w:val="22"/>
          <w:szCs w:val="22"/>
        </w:rPr>
        <w:t xml:space="preserve">24 April 2026</w:t>
      </w:r>
    </w:p>
    <w:p>
      <w:r>
        <w:br w:type="page"/>
      </w:r>
    </w:p>
    <w:p>
      <w:pPr>
        <w:pStyle w:val="Heading1"/>
        <w:spacing w:after="180" w:before="240"/>
      </w:pPr>
      <w:r>
        <w:rPr>
          <w:rFonts w:ascii="Arial" w:cs="Arial" w:eastAsia="Arial" w:hAnsi="Arial"/>
          <w:b/>
          <w:bCs/>
          <w:sz w:val="32"/>
          <w:szCs w:val="32"/>
        </w:rP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pPr>
        <w:spacing w:after="120" w:before="120"/>
      </w:pPr>
      <w:r>
        <w:rPr>
          <w:rFonts w:ascii="Arial" w:cs="Arial" w:eastAsia="Arial" w:hAnsi="Arial"/>
          <w:i/>
          <w:iCs/>
          <w:color w:val="808080"/>
          <w:sz w:val="18"/>
          <w:szCs w:val="18"/>
        </w:rPr>
        <w:t xml:space="preserve">(Right-click the table in Word and choose "Update Field" to populate page numbers.)</w:t>
      </w:r>
    </w:p>
    <w:p>
      <w:r>
        <w:br w:type="page"/>
      </w:r>
    </w:p>
    <w:p>
      <w:pPr>
        <w:pStyle w:val="Heading1"/>
        <w:spacing w:after="180" w:before="360"/>
      </w:pPr>
      <w:r>
        <w:rPr>
          <w:rFonts w:ascii="Arial" w:cs="Arial" w:eastAsia="Arial" w:hAnsi="Arial"/>
          <w:b/>
          <w:bCs/>
          <w:sz w:val="32"/>
          <w:szCs w:val="32"/>
        </w:rPr>
        <w:t xml:space="preserve">At a glance</w:t>
      </w:r>
    </w:p>
    <w:p>
      <w:pPr>
        <w:spacing w:after="120" w:line="300"/>
        <w:jc w:val="left"/>
      </w:pPr>
      <w:r>
        <w:rPr>
          <w:rFonts w:ascii="Arial" w:cs="Arial" w:eastAsia="Arial" w:hAnsi="Arial"/>
          <w:b w:val="false"/>
          <w:bCs w:val="false"/>
          <w:i w:val="false"/>
          <w:iCs w:val="false"/>
          <w:sz w:val="22"/>
          <w:szCs w:val="22"/>
        </w:rPr>
        <w:t xml:space="preserve">The diagram and table below summarise the plan's structure. Everything that follows elaborates on one of these cells.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4"/>
                <w:szCs w:val="24"/>
              </w:rPr>
              <w:t xml:space="preserve">Pillar 1 — Agentic Instruments</w:t>
            </w:r>
          </w:p>
        </w:tc>
        <w:tc>
          <w:tcPr>
            <w:tcW w:type="dxa" w:w="4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4"/>
                <w:szCs w:val="24"/>
              </w:rPr>
              <w:t xml:space="preserve">Pillar 2 — Agentic Systems</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Client-side Claude plugins built to 12 structural properties.</w:t>
            </w:r>
          </w:p>
          <w:p>
            <w:pPr>
              <w:spacing w:after="40" w:line="280"/>
            </w:pPr>
            <w:r>
              <w:rPr>
                <w:rFonts w:ascii="Arial" w:cs="Arial" w:eastAsia="Arial" w:hAnsi="Arial"/>
                <w:b w:val="false"/>
                <w:bCs w:val="false"/>
                <w:sz w:val="20"/>
                <w:szCs w:val="20"/>
              </w:rPr>
              <w:t xml:space="preserve"/>
            </w:r>
          </w:p>
          <w:p>
            <w:pPr>
              <w:spacing w:after="40" w:line="280"/>
            </w:pPr>
            <w:r>
              <w:rPr>
                <w:rFonts w:ascii="Arial" w:cs="Arial" w:eastAsia="Arial" w:hAnsi="Arial"/>
                <w:b w:val="false"/>
                <w:bCs w:val="false"/>
                <w:sz w:val="20"/>
                <w:szCs w:val="20"/>
              </w:rPr>
              <w:t xml:space="preserve">Reference instance: Mindgap (marketing intelligence)</w:t>
            </w:r>
          </w:p>
          <w:p>
            <w:pPr>
              <w:spacing w:after="40" w:line="280"/>
            </w:pPr>
            <w:r>
              <w:rPr>
                <w:rFonts w:ascii="Arial" w:cs="Arial" w:eastAsia="Arial" w:hAnsi="Arial"/>
                <w:b w:val="false"/>
                <w:bCs w:val="false"/>
                <w:sz w:val="20"/>
                <w:szCs w:val="20"/>
              </w:rPr>
              <w:t xml:space="preserve">Runs on client's Claude Max subscription — no venture compute cost at runtime.</w:t>
            </w:r>
          </w:p>
          <w:p>
            <w:pPr>
              <w:spacing w:after="40" w:line="280"/>
            </w:pPr>
            <w:r>
              <w:rPr>
                <w:rFonts w:ascii="Arial" w:cs="Arial" w:eastAsia="Arial" w:hAnsi="Arial"/>
                <w:b w:val="false"/>
                <w:bCs w:val="false"/>
                <w:sz w:val="20"/>
                <w:szCs w:val="20"/>
              </w:rPr>
              <w:t xml:space="preserve">Sold as: build + deploy + train + maintain.</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Remote MCP backends with multi-agent pipelines, tenanted identity, cross-venture composition.</w:t>
            </w:r>
          </w:p>
          <w:p>
            <w:pPr>
              <w:spacing w:after="40" w:line="280"/>
            </w:pPr>
            <w:r>
              <w:rPr>
                <w:rFonts w:ascii="Arial" w:cs="Arial" w:eastAsia="Arial" w:hAnsi="Arial"/>
                <w:b w:val="false"/>
                <w:bCs w:val="false"/>
                <w:sz w:val="20"/>
                <w:szCs w:val="20"/>
              </w:rPr>
              <w:t xml:space="preserve"/>
            </w:r>
          </w:p>
          <w:p>
            <w:pPr>
              <w:spacing w:after="40" w:line="280"/>
            </w:pPr>
            <w:r>
              <w:rPr>
                <w:rFonts w:ascii="Arial" w:cs="Arial" w:eastAsia="Arial" w:hAnsi="Arial"/>
                <w:b w:val="false"/>
                <w:bCs w:val="false"/>
                <w:sz w:val="20"/>
                <w:szCs w:val="20"/>
              </w:rPr>
              <w:t xml:space="preserve">Reference instance: ATP (governance analysis for VN crypto exchanges)</w:t>
            </w:r>
          </w:p>
          <w:p>
            <w:pPr>
              <w:spacing w:after="40" w:line="280"/>
            </w:pPr>
            <w:r>
              <w:rPr>
                <w:rFonts w:ascii="Arial" w:cs="Arial" w:eastAsia="Arial" w:hAnsi="Arial"/>
                <w:b w:val="false"/>
                <w:bCs w:val="false"/>
                <w:sz w:val="20"/>
                <w:szCs w:val="20"/>
              </w:rPr>
              <w:t xml:space="preserve">~$10/report × 3× iterations ≈ $30 per delivered deliverable (compute).</w:t>
            </w:r>
          </w:p>
          <w:p>
            <w:pPr>
              <w:spacing w:after="40" w:line="280"/>
            </w:pPr>
            <w:r>
              <w:rPr>
                <w:rFonts w:ascii="Arial" w:cs="Arial" w:eastAsia="Arial" w:hAnsi="Arial"/>
                <w:b w:val="false"/>
                <w:bCs w:val="false"/>
                <w:sz w:val="20"/>
                <w:szCs w:val="20"/>
              </w:rPr>
              <w:t xml:space="preserve">Sold as: system build + deployment + training + operation.</w:t>
            </w:r>
          </w:p>
        </w:tc>
      </w:tr>
      <w:tr>
        <w:tc>
          <w:tcPr>
            <w:tcW w:type="dxa" w:w="46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spacing w:after="40" w:line="280"/>
            </w:pPr>
            <w:r>
              <w:rPr>
                <w:rFonts w:ascii="Arial" w:cs="Arial" w:eastAsia="Arial" w:hAnsi="Arial"/>
                <w:b/>
                <w:bCs/>
                <w:sz w:val="20"/>
                <w:szCs w:val="20"/>
              </w:rPr>
              <w:t xml:space="preserve">Shared across both pillars:</w:t>
            </w:r>
          </w:p>
        </w:tc>
        <w:tc>
          <w:tcPr>
            <w:tcW w:type="dxa" w:w="46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 Vietnamese connector library — Reference architecture — Rendering contract — Validator discipline — Cybersec + IoT composition</w:t>
            </w:r>
          </w:p>
        </w:tc>
      </w:tr>
    </w:tbl>
    <w:p>
      <w:pPr>
        <w:spacing w:after="120" w:line="300"/>
        <w:jc w:val="left"/>
      </w:pPr>
      <w:r>
        <w:rPr>
          <w:rFonts w:ascii="Arial" w:cs="Arial" w:eastAsia="Arial" w:hAnsi="Arial"/>
          <w:b w:val="false"/>
          <w:bCs w:val="false"/>
          <w:i w:val="false"/>
          <w:iCs w:val="false"/>
          <w:sz w:val="22"/>
          <w:szCs w:val="22"/>
        </w:rPr>
        <w:t xml:space="preserve"/>
      </w:r>
    </w:p>
    <w:p>
      <w:pPr>
        <w:pStyle w:val="Heading3"/>
        <w:spacing w:after="120" w:before="220"/>
      </w:pPr>
      <w:r>
        <w:rPr>
          <w:rFonts w:ascii="Arial" w:cs="Arial" w:eastAsia="Arial" w:hAnsi="Arial"/>
          <w:b/>
          <w:bCs/>
          <w:sz w:val="24"/>
          <w:szCs w:val="24"/>
        </w:rPr>
        <w:t xml:space="preserve">Plan key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What this plan covers</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The AI feasibility of building agentic instruments (Pillar 1) and agentic systems (Pillar 2) for Vietnamese businesses and government, given the team, the reference instances (Mindgap, ATP), and the Innovation Centre's cybersec + IoT capability. Market demand and commercial pricing are the business plan's scope, not this plan's.</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Framing</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One product line at two infrastructure intensities. Pillar-1 instruments graduate to Pillar-2 systems when scale or governance demands push past client-side operation.</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Context assumed</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Three-person starting team (two standing, one per-engagement); three production-grade reference instances — Mindgap (Pillar-1, BigSmall), ATP (Pillar-2 backend, BigSmall), Agent Rung (Pillar-2 cyber-physical, Panalogy Lab); cybersec and IoT companies in the Innovation Centre; Vietnamese market as deployment surface. Demand for AI adoption is assumed; it is not argued here.</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Instrument definition</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12 structural properties — curated KB, multi-agent workflow, deterministic calculators, risk gate, rendering contract, cross-cutting references, validator, supporting code, deployment posture, typed connectors (commodity + custom), quality web search, generative modalities.</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Buildability model</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Pillar 1: catalogue with three readiness zones (ready now, one-window, two-window) and fastest-production-deployment principle. Pillar 2: reference architecture + mobilisation readiness, not a product list.</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Team start</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AI Lead (Sơn — Chief-AI-Officer-class role, 1/3 stated load delivering ≈ full-FTE output, 120M VND/mo, BigSmall-partnership rate) + Agentic AI Dev (full-time, BigSmall-seconded at 50M VND/mo VN senior full-stack minimum, acting PO) + Bằng (BigSmall Software Architect, per-engagement basis for Pillar-2 work, 30M VND/mo, not a standing venture cost). All figures trace to Bằng's QS project quote. Named hiring triggers for PO, second dev, KB lead, deployment engineer, backend engineer, security engineer.</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Cost baseline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Claude Max ($100/mo) as reference. Pillar-1 compute ≈ 0 at margin (runs in client's subscription). Pillar-2 compute ≈ $30/deliverable (ATP-observed, 3× iteration multiplier on ~$10/report).</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Cross-venture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Cybersecurity company = client-side trust surface + Pillar-2 server-side identity/audit. IoT company = physical-world integration + Pillar-2 telemetry/actuation.</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BigSmall partnership</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Mindgap and ATP are cited as BigSmall's portfolio — evidence of the team's demonstrated capability, not assets the venture owns. BigSmall brings to the partnership: demonstrated brain power, talent (Sơn, Agentic Dev, Bằng), and a low-cost basis for engagements like the QS quote. In exchange, BigSmall is expected to hold a large equity share in the AI venture. Equity terms, IP-licensing terms, and governance are out of this plan's scope.</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Out of scope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Pricing, packaging, revenue targets, market sizing, go-to-market, competitive market positioning, and inter-company equity/governance terms are the business plan's scope. This plan supplies the AI feasibility inputs only.</w:t>
            </w:r>
          </w:p>
        </w:tc>
      </w:tr>
    </w:tbl>
    <w:p>
      <w:pPr>
        <w:spacing w:after="120" w:line="300"/>
        <w:jc w:val="left"/>
      </w:pPr>
      <w:r>
        <w:rPr>
          <w:rFonts w:ascii="Arial" w:cs="Arial" w:eastAsia="Arial" w:hAnsi="Arial"/>
          <w:b w:val="false"/>
          <w:bCs w:val="false"/>
          <w:i w:val="false"/>
          <w:iCs w:val="false"/>
          <w:sz w:val="22"/>
          <w:szCs w:val="22"/>
        </w:rPr>
        <w:t xml:space="preserve"/>
      </w:r>
    </w:p>
    <w:p>
      <w:r>
        <w:br w:type="page"/>
      </w:r>
    </w:p>
    <w:p>
      <w:pPr>
        <w:pStyle w:val="Heading1"/>
        <w:spacing w:after="180" w:before="360"/>
      </w:pPr>
      <w:r>
        <w:rPr>
          <w:rFonts w:ascii="Arial" w:cs="Arial" w:eastAsia="Arial" w:hAnsi="Arial"/>
          <w:b/>
          <w:bCs/>
          <w:sz w:val="32"/>
          <w:szCs w:val="32"/>
        </w:rPr>
        <w:t xml:space="preserve">Scope of this document</w:t>
      </w:r>
    </w:p>
    <w:p>
      <w:pPr>
        <w:spacing w:after="120" w:line="300"/>
        <w:jc w:val="left"/>
      </w:pPr>
      <w:r>
        <w:rPr>
          <w:rFonts w:ascii="Arial" w:cs="Arial" w:eastAsia="Arial" w:hAnsi="Arial"/>
          <w:b w:val="false"/>
          <w:bCs w:val="false"/>
          <w:i w:val="false"/>
          <w:iCs w:val="false"/>
          <w:sz w:val="22"/>
          <w:szCs w:val="22"/>
        </w:rPr>
        <w:t xml:space="preserve">This is an AI plan. It answers one question: given the context — a three-person starting team (two standing, one per-engagement), two production-grade internal reference instances (Mindgap, ATP) cited as BigSmall's portfolio, and an Innovation Centre that also houses a cybersecurity company and an IoT company — what AI work can the venture feasibly build, deploy, and maintain, and at what operational cost? That is the AI-feasibility question the author was asked to address.</w:t>
      </w:r>
    </w:p>
    <w:p>
      <w:pPr>
        <w:spacing w:after="120" w:line="300"/>
        <w:jc w:val="left"/>
      </w:pPr>
      <w:r>
        <w:rPr>
          <w:rFonts w:ascii="Arial" w:cs="Arial" w:eastAsia="Arial" w:hAnsi="Arial"/>
          <w:b w:val="false"/>
          <w:bCs w:val="false"/>
          <w:i w:val="false"/>
          <w:iCs w:val="false"/>
          <w:sz w:val="22"/>
          <w:szCs w:val="22"/>
        </w:rPr>
        <w:t xml:space="preserve">This plan is not, and does not propose, a business plan. It does not argue market demand, propose pricing, target revenue, set margins, sequence go-to-market, size the market, or take competitive market-positioning stances. Those are the business plan's scope and the business-plan team's responsibility. Where this document touches cost, it is cost physics (what something costs to produce), not pricing (what a client should be charged). Where it touches client tiers or instrument classes, it is about buildability and technical differentiation, not market segmentation.</w:t>
      </w:r>
    </w:p>
    <w:p>
      <w:pPr>
        <w:spacing w:after="120" w:line="300"/>
        <w:jc w:val="left"/>
      </w:pPr>
      <w:r>
        <w:rPr>
          <w:rFonts w:ascii="Arial" w:cs="Arial" w:eastAsia="Arial" w:hAnsi="Arial"/>
          <w:b w:val="false"/>
          <w:bCs w:val="false"/>
          <w:i w:val="false"/>
          <w:iCs w:val="false"/>
          <w:sz w:val="22"/>
          <w:szCs w:val="22"/>
        </w:rPr>
        <w:t xml:space="preserve">Four concrete references anchor this plan. Mindgap, a marketing-intelligence plugin, is cited as the first reference instance of a Pillar-1 agentic instrument. ATP (Agentic Transaction Platform, atp.bigsmallai.com), a governance-analysis backend for Vietnam crypto exchanges, is cited as the first reference instance of a Pillar-2 agentic system. Agent Rung (agentrung.ai), a first-of-its-kind agentic system that autonomously connects to a real-world PLC to troubleshoot and fix issues, is cited as the first reference instance of an agentic cyber-physical system — the Pillar-2 zone that composes AI reasoning with real-world actuation. Mindgap and ATP are first-party work of BigSmall AI; Agent Rung is first-party work of Panalogy Lab. All three are already in production and are cited here as portfolio evidence of the team's demonstrated capability across skill-tier, backend-tier, and cyber-physical-tier agentic work — they are not IP that has been transferred to the AI venture. The fourth reference, anchoring the cost model throughout, is Bằng's QS project quote (the real-estate Quality Survey engagement that originated this conversation), whose team structure and cost basis are the empirical source of the salary and engagement-cost figures in sections 6 and 7. See section 2.6 for how the QS engagement shaped the plan and section 2.7 for how the BigSmall partnership is assumed.</w:t>
      </w:r>
    </w:p>
    <w:p>
      <w:pPr>
        <w:pStyle w:val="Heading1"/>
        <w:spacing w:after="180" w:before="360"/>
      </w:pPr>
      <w:r>
        <w:rPr>
          <w:rFonts w:ascii="Arial" w:cs="Arial" w:eastAsia="Arial" w:hAnsi="Arial"/>
          <w:b/>
          <w:bCs/>
          <w:sz w:val="32"/>
          <w:szCs w:val="32"/>
        </w:rPr>
        <w:t xml:space="preserve">1. Executive framing</w:t>
      </w:r>
    </w:p>
    <w:p>
      <w:pPr>
        <w:spacing w:after="120" w:line="300"/>
        <w:jc w:val="left"/>
      </w:pPr>
      <w:r>
        <w:rPr>
          <w:rFonts w:ascii="Arial" w:cs="Arial" w:eastAsia="Arial" w:hAnsi="Arial"/>
          <w:b w:val="false"/>
          <w:bCs w:val="false"/>
          <w:i w:val="false"/>
          <w:iCs w:val="false"/>
          <w:sz w:val="22"/>
          <w:szCs w:val="22"/>
        </w:rPr>
        <w:t xml:space="preserve">The AI venture produces AI work for Vietnamese businesses and government along two pillars that are, structurally, one product line at two levels of infrastructure intensity.</w:t>
      </w:r>
    </w:p>
    <w:p>
      <w:pPr>
        <w:pStyle w:val="ListParagraph"/>
        <w:numPr>
          <w:ilvl w:val="0"/>
          <w:numId w:val="2"/>
        </w:numPr>
        <w:spacing w:after="80" w:line="300"/>
      </w:pPr>
      <w:r>
        <w:rPr>
          <w:rFonts w:ascii="Arial" w:cs="Arial" w:eastAsia="Arial" w:hAnsi="Arial"/>
          <w:sz w:val="22"/>
          <w:szCs w:val="22"/>
        </w:rPr>
        <w:t xml:space="preserve">Pillar 1 — Agentic Instruments. Customised and localised Claude plugins built to industrial standards, deployed into the client's Claude environment, trained into the client's operations, and maintained on a release cadence.</w:t>
      </w:r>
    </w:p>
    <w:p>
      <w:pPr>
        <w:pStyle w:val="ListParagraph"/>
        <w:numPr>
          <w:ilvl w:val="0"/>
          <w:numId w:val="2"/>
        </w:numPr>
        <w:spacing w:after="80" w:line="300"/>
      </w:pPr>
      <w:r>
        <w:rPr>
          <w:rFonts w:ascii="Arial" w:cs="Arial" w:eastAsia="Arial" w:hAnsi="Arial"/>
          <w:sz w:val="22"/>
          <w:szCs w:val="22"/>
        </w:rPr>
        <w:t xml:space="preserve">Pillar 2 — Agentic Systems. On-demand engagements that exceed what a Claude-side plugin can cleanly carry — remote backends with multi-agent pipelines, curated corpora, tenanted identity, cross-venture composition with the cybersecurity and IoT companies — produced as a system with deployment, training, and maintenance.</w:t>
      </w:r>
    </w:p>
    <w:p>
      <w:pPr>
        <w:spacing w:after="120" w:line="300"/>
        <w:jc w:val="left"/>
      </w:pPr>
      <w:r>
        <w:rPr>
          <w:rFonts w:ascii="Arial" w:cs="Arial" w:eastAsia="Arial" w:hAnsi="Arial"/>
          <w:b w:val="false"/>
          <w:bCs w:val="false"/>
          <w:i w:val="false"/>
          <w:iCs w:val="false"/>
          <w:sz w:val="22"/>
          <w:szCs w:val="22"/>
        </w:rPr>
        <w:t xml:space="preserve">The two pillars share a single engineering discipline, a single connector library, and a single reference architecture. An instrument that outgrows Claude-side operation graduates to a Pillar-2 system through this shared infrastructure rather than through a rebuild.</w:t>
      </w:r>
    </w:p>
    <w:p>
      <w:pPr>
        <w:pStyle w:val="Heading1"/>
        <w:spacing w:after="180" w:before="360"/>
      </w:pPr>
      <w:r>
        <w:rPr>
          <w:rFonts w:ascii="Arial" w:cs="Arial" w:eastAsia="Arial" w:hAnsi="Arial"/>
          <w:b/>
          <w:bCs/>
          <w:sz w:val="32"/>
          <w:szCs w:val="32"/>
        </w:rPr>
        <w:t xml:space="preserve">2. Context assumed by this plan</w:t>
      </w:r>
    </w:p>
    <w:p>
      <w:pPr>
        <w:spacing w:after="120" w:line="300"/>
        <w:jc w:val="left"/>
      </w:pPr>
      <w:r>
        <w:rPr>
          <w:rFonts w:ascii="Arial" w:cs="Arial" w:eastAsia="Arial" w:hAnsi="Arial"/>
          <w:b w:val="false"/>
          <w:bCs w:val="false"/>
          <w:i w:val="false"/>
          <w:iCs w:val="false"/>
          <w:sz w:val="22"/>
          <w:szCs w:val="22"/>
        </w:rPr>
        <w:t xml:space="preserve">This plan takes the following as given inputs. They are the context the AI lead was asked to build against, and the feasibility reasoning in sections 3 through 8 rests on them.</w:t>
      </w:r>
    </w:p>
    <w:p>
      <w:pPr>
        <w:pStyle w:val="Heading2"/>
        <w:spacing w:after="140" w:before="280"/>
      </w:pPr>
      <w:r>
        <w:rPr>
          <w:rFonts w:ascii="Arial" w:cs="Arial" w:eastAsia="Arial" w:hAnsi="Arial"/>
          <w:b/>
          <w:bCs/>
          <w:sz w:val="28"/>
          <w:szCs w:val="28"/>
        </w:rPr>
        <w:t xml:space="preserve">2.1 Team</w:t>
      </w:r>
    </w:p>
    <w:p>
      <w:pPr>
        <w:spacing w:after="120" w:line="300"/>
        <w:jc w:val="left"/>
      </w:pPr>
      <w:r>
        <w:rPr>
          <w:rFonts w:ascii="Arial" w:cs="Arial" w:eastAsia="Arial" w:hAnsi="Arial"/>
          <w:b w:val="false"/>
          <w:bCs w:val="false"/>
          <w:i w:val="false"/>
          <w:iCs w:val="false"/>
          <w:sz w:val="22"/>
          <w:szCs w:val="22"/>
        </w:rPr>
        <w:t xml:space="preserve">A starting team of three — two standing, one per-engagement. The two standing members are the AI Lead (Sơn — at one-third stated load delivering full-FTE-equivalent output) and the Agentic AI Dev (full-time, also carrying the Product Owner role). The per-engagement member is Bằng (Software Architect, BigSmall-seconded, drawn in for Pillar-2 backend work at the QS-quote reference rate — not a standing venture headcount, priced into each Pillar-2 engagement that requires architecture). Expansion hires are triggered by workload, per section 6.</w:t>
      </w:r>
    </w:p>
    <w:p>
      <w:pPr>
        <w:pStyle w:val="Heading2"/>
        <w:spacing w:after="140" w:before="280"/>
      </w:pPr>
      <w:r>
        <w:rPr>
          <w:rFonts w:ascii="Arial" w:cs="Arial" w:eastAsia="Arial" w:hAnsi="Arial"/>
          <w:b/>
          <w:bCs/>
          <w:sz w:val="28"/>
          <w:szCs w:val="28"/>
        </w:rPr>
        <w:t xml:space="preserve">2.2 Reference instances</w:t>
      </w:r>
    </w:p>
    <w:p>
      <w:pPr>
        <w:spacing w:after="120" w:line="300"/>
        <w:jc w:val="left"/>
      </w:pPr>
      <w:r>
        <w:rPr>
          <w:rFonts w:ascii="Arial" w:cs="Arial" w:eastAsia="Arial" w:hAnsi="Arial"/>
          <w:b w:val="false"/>
          <w:bCs w:val="false"/>
          <w:i w:val="false"/>
          <w:iCs w:val="false"/>
          <w:sz w:val="22"/>
          <w:szCs w:val="22"/>
        </w:rPr>
        <w:t xml:space="preserve">Three production-grade reference instances anchor the plan, each demonstrating the team's engineering discipline in a different zone of the agentic-system landscape:</w:t>
      </w:r>
    </w:p>
    <w:p>
      <w:pPr>
        <w:pStyle w:val="ListParagraph"/>
        <w:numPr>
          <w:ilvl w:val="0"/>
          <w:numId w:val="2"/>
        </w:numPr>
        <w:spacing w:after="80" w:line="300"/>
      </w:pPr>
      <w:r>
        <w:rPr>
          <w:rFonts w:ascii="Arial" w:cs="Arial" w:eastAsia="Arial" w:hAnsi="Arial"/>
          <w:b/>
          <w:bCs/>
          <w:sz w:val="22"/>
          <w:szCs w:val="22"/>
        </w:rPr>
        <w:t xml:space="preserve">Mindgap </w:t>
      </w:r>
      <w:r>
        <w:rPr>
          <w:rFonts w:ascii="Arial" w:cs="Arial" w:eastAsia="Arial" w:hAnsi="Arial"/>
          <w:sz w:val="22"/>
          <w:szCs w:val="22"/>
        </w:rPr>
        <w:t xml:space="preserve">(marketing-intelligence plugin, v0.16.1, KB v2026.04-r3) — the first reference instance of a Pillar-1 agentic instrument, already in production as first-party work of BigSmall AI. Architecture is the empirical anchor for the 12-property instrument definition in section 3.1.</w:t>
      </w:r>
    </w:p>
    <w:p>
      <w:pPr>
        <w:pStyle w:val="ListParagraph"/>
        <w:numPr>
          <w:ilvl w:val="0"/>
          <w:numId w:val="2"/>
        </w:numPr>
        <w:spacing w:after="80" w:line="300"/>
      </w:pPr>
      <w:r>
        <w:rPr>
          <w:rFonts w:ascii="Arial" w:cs="Arial" w:eastAsia="Arial" w:hAnsi="Arial"/>
          <w:b/>
          <w:bCs/>
          <w:sz w:val="22"/>
          <w:szCs w:val="22"/>
        </w:rPr>
        <w:t xml:space="preserve">ATP </w:t>
      </w:r>
      <w:r>
        <w:rPr>
          <w:rFonts w:ascii="Arial" w:cs="Arial" w:eastAsia="Arial" w:hAnsi="Arial"/>
          <w:sz w:val="22"/>
          <w:szCs w:val="22"/>
        </w:rPr>
        <w:t xml:space="preserve">(Agentic Transaction Platform, atp.bigsmallai.com) — the first reference instance of a Pillar-2 agentic system (backend-bound governance analysis for Vietnam crypto exchanges), already in production as first-party work of BigSmall AI. Architecture is the empirical anchor for the reference architecture in section 3.2.</w:t>
      </w:r>
    </w:p>
    <w:p>
      <w:pPr>
        <w:pStyle w:val="ListParagraph"/>
        <w:numPr>
          <w:ilvl w:val="0"/>
          <w:numId w:val="2"/>
        </w:numPr>
        <w:spacing w:after="80" w:line="300"/>
      </w:pPr>
      <w:r>
        <w:rPr>
          <w:rFonts w:ascii="Arial" w:cs="Arial" w:eastAsia="Arial" w:hAnsi="Arial"/>
          <w:b/>
          <w:bCs/>
          <w:sz w:val="22"/>
          <w:szCs w:val="22"/>
        </w:rPr>
        <w:t xml:space="preserve">Agent Rung </w:t>
      </w:r>
      <w:r>
        <w:rPr>
          <w:rFonts w:ascii="Arial" w:cs="Arial" w:eastAsia="Arial" w:hAnsi="Arial"/>
          <w:sz w:val="22"/>
          <w:szCs w:val="22"/>
        </w:rPr>
        <w:t xml:space="preserve">(agentrung.ai) — a first-of-its-kind agentic system that autonomously connects to a real-world Programmable Logic Controller (PLC), reads live state, forms hypotheses, verifies against hardware, and proposes or executes writes that change physical-world state. Demonstrates the team's capability in the Pillar-2 cyber-physical zone — AI reasoning composed with real-world actuation, which is the same pattern the Innovation Centre's AI × IoT cross-venture engagements will build on. First-party work of Panalogy Lab, already in production.</w:t>
      </w:r>
    </w:p>
    <w:p>
      <w:pPr>
        <w:spacing w:after="120" w:line="300"/>
        <w:jc w:val="left"/>
      </w:pPr>
      <w:r>
        <w:rPr>
          <w:rFonts w:ascii="Arial" w:cs="Arial" w:eastAsia="Arial" w:hAnsi="Arial"/>
          <w:b w:val="false"/>
          <w:bCs w:val="false"/>
          <w:i w:val="false"/>
          <w:iCs w:val="false"/>
          <w:sz w:val="22"/>
          <w:szCs w:val="22"/>
        </w:rPr>
        <w:t xml:space="preserve">All three reference instances remain the property of their originating lab (BigSmall AI for Mindgap and ATP; Panalogy Lab for Agent Rung) and are cited here as portfolio evidence of demonstrated capability. The venture's own Pillar-1 instruments and Pillar-2 systems are new builds produced under the same engineering discipline.</w:t>
      </w:r>
    </w:p>
    <w:p>
      <w:pPr>
        <w:pStyle w:val="Heading2"/>
        <w:spacing w:after="140" w:before="280"/>
      </w:pPr>
      <w:r>
        <w:rPr>
          <w:rFonts w:ascii="Arial" w:cs="Arial" w:eastAsia="Arial" w:hAnsi="Arial"/>
          <w:b/>
          <w:bCs/>
          <w:sz w:val="28"/>
          <w:szCs w:val="28"/>
        </w:rPr>
        <w:t xml:space="preserve">2.3 Innovation Centre composition</w:t>
      </w:r>
    </w:p>
    <w:p>
      <w:pPr>
        <w:spacing w:after="120" w:line="300"/>
        <w:jc w:val="left"/>
      </w:pPr>
      <w:r>
        <w:rPr>
          <w:rFonts w:ascii="Arial" w:cs="Arial" w:eastAsia="Arial" w:hAnsi="Arial"/>
          <w:b w:val="false"/>
          <w:bCs w:val="false"/>
          <w:i w:val="false"/>
          <w:iCs w:val="false"/>
          <w:sz w:val="22"/>
          <w:szCs w:val="22"/>
        </w:rPr>
        <w:t xml:space="preserve">The AI venture operates alongside an existing cybersecurity company and an existing IoT company within the Innovation Centre. This plan assumes both are available as structural inputs into AI-venture engagements — not as optional cross-sells — and the feasibility analysis in section 3.3 (synergy) and in sections 4 (technical differentiation) and 5.4 (Pillar 2) relies on that availability.</w:t>
      </w:r>
    </w:p>
    <w:p>
      <w:pPr>
        <w:pStyle w:val="Heading2"/>
        <w:spacing w:after="140" w:before="280"/>
      </w:pPr>
      <w:r>
        <w:rPr>
          <w:rFonts w:ascii="Arial" w:cs="Arial" w:eastAsia="Arial" w:hAnsi="Arial"/>
          <w:b/>
          <w:bCs/>
          <w:sz w:val="28"/>
          <w:szCs w:val="28"/>
        </w:rPr>
        <w:t xml:space="preserve">2.4 Deployment surface</w:t>
      </w:r>
    </w:p>
    <w:p>
      <w:pPr>
        <w:spacing w:after="120" w:line="300"/>
        <w:jc w:val="left"/>
      </w:pPr>
      <w:r>
        <w:rPr>
          <w:rFonts w:ascii="Arial" w:cs="Arial" w:eastAsia="Arial" w:hAnsi="Arial"/>
          <w:b w:val="false"/>
          <w:bCs w:val="false"/>
          <w:i w:val="false"/>
          <w:iCs w:val="false"/>
          <w:sz w:val="22"/>
          <w:szCs w:val="22"/>
        </w:rPr>
        <w:t xml:space="preserve">Vietnamese businesses and government as the primary deployment surface, with Vietnamese language, Vietnamese regulatory context, Vietnamese operational conventions, and the local ERP / e-invoice / messaging stack (MISA, Bravo, Fast, Effect; MISA/Viettel/FPT e-invoice; Zalo) as the real client systems the venture's instruments must integrate with.</w:t>
      </w:r>
    </w:p>
    <w:p>
      <w:pPr>
        <w:pStyle w:val="Heading2"/>
        <w:spacing w:after="140" w:before="280"/>
      </w:pPr>
      <w:r>
        <w:rPr>
          <w:rFonts w:ascii="Arial" w:cs="Arial" w:eastAsia="Arial" w:hAnsi="Arial"/>
          <w:b/>
          <w:bCs/>
          <w:sz w:val="28"/>
          <w:szCs w:val="28"/>
        </w:rPr>
        <w:t xml:space="preserve">2.5 Out of scope — demand and commercials</w:t>
      </w:r>
    </w:p>
    <w:p>
      <w:pPr>
        <w:spacing w:after="120" w:line="300"/>
        <w:jc w:val="left"/>
      </w:pPr>
      <w:r>
        <w:rPr>
          <w:rFonts w:ascii="Arial" w:cs="Arial" w:eastAsia="Arial" w:hAnsi="Arial"/>
          <w:b w:val="false"/>
          <w:bCs w:val="false"/>
          <w:i w:val="false"/>
          <w:iCs w:val="false"/>
          <w:sz w:val="22"/>
          <w:szCs w:val="22"/>
        </w:rPr>
        <w:t xml:space="preserve">Market demand for AI adoption in Vietnam — whether it exists, how large it is, how fast it is growing, and what forces drive it — is not argued in this plan. This plan assumes demand exists; whether demand is sufficient, how it segments, and how it is converted into revenue are questions for the business plan. Pricing, packaging, margins, revenue targets, and go-to-market are also out of scope.</w:t>
      </w:r>
    </w:p>
    <w:p>
      <w:pPr>
        <w:pStyle w:val="Heading2"/>
        <w:spacing w:after="140" w:before="280"/>
      </w:pPr>
      <w:r>
        <w:rPr>
          <w:rFonts w:ascii="Arial" w:cs="Arial" w:eastAsia="Arial" w:hAnsi="Arial"/>
          <w:b/>
          <w:bCs/>
          <w:sz w:val="28"/>
          <w:szCs w:val="28"/>
        </w:rPr>
        <w:t xml:space="preserve">2.6 Origin of this plan</w:t>
      </w:r>
    </w:p>
    <w:p>
      <w:pPr>
        <w:spacing w:after="120" w:line="300"/>
        <w:jc w:val="left"/>
      </w:pPr>
      <w:r>
        <w:rPr>
          <w:rFonts w:ascii="Arial" w:cs="Arial" w:eastAsia="Arial" w:hAnsi="Arial"/>
          <w:b w:val="false"/>
          <w:bCs w:val="false"/>
          <w:i w:val="false"/>
          <w:iCs w:val="false"/>
          <w:sz w:val="22"/>
          <w:szCs w:val="22"/>
        </w:rPr>
        <w:t xml:space="preserve">This plan did not begin as an abstract exercise. It began with a concrete engagement request: Hằng (the person building the Innovation Centre) approached Bằng (cofounder at BigSmall AI) for a quote on an agentic system to support the Quality Survey (QS) operation of her real-estate company. Bằng produced a six-month MVP quote covering design upload, material and task take-off, AI-generated bid packages with market-price surveys, and price-band recommendations — a team of six (AI Lead, Software Architect, PO, two developers, one QC), with a 1.59 bn VND cost basis packaged at 1.2 bn VND plus a 30-50% equity stake in the project for BigSmall.</w:t>
      </w:r>
    </w:p>
    <w:p>
      <w:pPr>
        <w:spacing w:after="120" w:line="300"/>
        <w:jc w:val="left"/>
      </w:pPr>
      <w:r>
        <w:rPr>
          <w:rFonts w:ascii="Arial" w:cs="Arial" w:eastAsia="Arial" w:hAnsi="Arial"/>
          <w:b w:val="false"/>
          <w:bCs w:val="false"/>
          <w:i w:val="false"/>
          <w:iCs w:val="false"/>
          <w:sz w:val="22"/>
          <w:szCs w:val="22"/>
        </w:rPr>
        <w:t xml:space="preserve">From that single engagement, the plan generalises. The QS work is a Pillar-2 agentic system — backend-bound, domain-specialised, cross-venture-composable. Rather than treat it as a one-off project, the plan proposes the Innovation Centre stand up an AI venture that performs this class of work repeatedly — building Claude-side instruments (Pillar 1) and backend agentic systems (Pillar 2) for clients like Hằng and beyond. A workshop with Hằng's marketing team using Mindgap (the venture's Pillar-1 reference instance) confirmed the instrument class is immediately useful to her operation. The QS quote therefore anchors the Pillar-2 cost physics throughout this plan (see sections 7.2 and 7.5).</w:t>
      </w:r>
    </w:p>
    <w:p>
      <w:pPr>
        <w:spacing w:after="120" w:line="300"/>
        <w:jc w:val="left"/>
      </w:pPr>
      <w:r>
        <w:rPr>
          <w:rFonts w:ascii="Arial" w:cs="Arial" w:eastAsia="Arial" w:hAnsi="Arial"/>
          <w:b w:val="false"/>
          <w:bCs w:val="false"/>
          <w:i w:val="false"/>
          <w:iCs w:val="false"/>
          <w:sz w:val="22"/>
          <w:szCs w:val="22"/>
        </w:rPr>
        <w:t xml:space="preserve">The author was asked for a plan on the AI pillar of the Innovation Centre. The author was explicit that the brief was not a business plan — pricing, revenue model, market strategy, and commercial positioning are not in scope here and are the business plan's to develop.</w:t>
      </w:r>
    </w:p>
    <w:p>
      <w:pPr>
        <w:pStyle w:val="Heading2"/>
        <w:spacing w:after="140" w:before="280"/>
      </w:pPr>
      <w:r>
        <w:rPr>
          <w:rFonts w:ascii="Arial" w:cs="Arial" w:eastAsia="Arial" w:hAnsi="Arial"/>
          <w:b/>
          <w:bCs/>
          <w:sz w:val="28"/>
          <w:szCs w:val="28"/>
        </w:rPr>
        <w:t xml:space="preserve">2.7 BigSmall partnership — structural assumption</w:t>
      </w:r>
    </w:p>
    <w:p>
      <w:pPr>
        <w:spacing w:after="120" w:line="300"/>
        <w:jc w:val="left"/>
      </w:pPr>
      <w:r>
        <w:rPr>
          <w:rFonts w:ascii="Arial" w:cs="Arial" w:eastAsia="Arial" w:hAnsi="Arial"/>
          <w:b w:val="false"/>
          <w:bCs w:val="false"/>
          <w:i w:val="false"/>
          <w:iCs w:val="false"/>
          <w:sz w:val="22"/>
          <w:szCs w:val="22"/>
        </w:rPr>
        <w:t xml:space="preserve">The plan's team and cost picture rests on an assumed partnership between the AI venture and BigSmall AI. BigSmall does not transfer IP ownership to the venture. What the partnership brings the venture, and what BigSmall brings to the table, are the following:</w:t>
      </w:r>
    </w:p>
    <w:p>
      <w:pPr>
        <w:pStyle w:val="ListParagraph"/>
        <w:numPr>
          <w:ilvl w:val="0"/>
          <w:numId w:val="2"/>
        </w:numPr>
        <w:spacing w:after="80" w:line="300"/>
      </w:pPr>
      <w:r>
        <w:rPr>
          <w:rFonts w:ascii="Arial" w:cs="Arial" w:eastAsia="Arial" w:hAnsi="Arial"/>
          <w:sz w:val="22"/>
          <w:szCs w:val="22"/>
        </w:rPr>
        <w:t xml:space="preserve">Demonstrated capability, evidenced by BigSmall's portfolio — Mindgap and ATP, which are in production today. These are cited throughout this plan as reference instances to show that the team can build instrument-grade and system-grade artefacts of the class described in sections 3 and 4. Mindgap and ATP remain BigSmall's property; the venture's own Pillar-1 instruments and Pillar-2 systems are new work built by the venture's team under the same engineering discipline the reference instances demonstrate.</w:t>
      </w:r>
    </w:p>
    <w:p>
      <w:pPr>
        <w:pStyle w:val="ListParagraph"/>
        <w:numPr>
          <w:ilvl w:val="0"/>
          <w:numId w:val="2"/>
        </w:numPr>
        <w:spacing w:after="80" w:line="300"/>
      </w:pPr>
      <w:r>
        <w:rPr>
          <w:rFonts w:ascii="Arial" w:cs="Arial" w:eastAsia="Arial" w:hAnsi="Arial"/>
          <w:sz w:val="22"/>
          <w:szCs w:val="22"/>
        </w:rPr>
        <w:t xml:space="preserve">Talent — Sơn as AI Lead (a BigSmall-affiliated principal; the 120M VND/month figure traces to Bằng's QS project quote and reflects the BigSmall-partnership rate, not an arms-length international benchmark), the Agentic AI Dev seconded from BigSmall at a Vietnamese-market minimum rate, and Bằng's Software Architect capacity available on a per-engagement basis for Pillar-2 work (priced against the QS quote — see section 7.5).</w:t>
      </w:r>
    </w:p>
    <w:p>
      <w:pPr>
        <w:pStyle w:val="ListParagraph"/>
        <w:numPr>
          <w:ilvl w:val="0"/>
          <w:numId w:val="2"/>
        </w:numPr>
        <w:spacing w:after="80" w:line="300"/>
      </w:pPr>
      <w:r>
        <w:rPr>
          <w:rFonts w:ascii="Arial" w:cs="Arial" w:eastAsia="Arial" w:hAnsi="Arial"/>
          <w:sz w:val="22"/>
          <w:szCs w:val="22"/>
        </w:rPr>
        <w:t xml:space="preserve">A low-cost basis for the venture's engagements, demonstrated by the QS project quote itself — a 1.59 bn VND cost basis over six months for a six-person Pillar-2 build, which is only feasible because BigSmall is a partner with skin in the game, not an arms-length vendor.</w:t>
      </w:r>
    </w:p>
    <w:p>
      <w:pPr>
        <w:spacing w:after="120" w:line="300"/>
        <w:jc w:val="left"/>
      </w:pPr>
      <w:r>
        <w:rPr>
          <w:rFonts w:ascii="Arial" w:cs="Arial" w:eastAsia="Arial" w:hAnsi="Arial"/>
          <w:b w:val="false"/>
          <w:bCs w:val="false"/>
          <w:i w:val="false"/>
          <w:iCs w:val="false"/>
          <w:sz w:val="22"/>
          <w:szCs w:val="22"/>
        </w:rPr>
        <w:t xml:space="preserve">In exchange for this demonstrated capability, talent, and favourable cost basis — the brain power the BigSmall portfolio proves, not a transfer of Mindgap or ATP themselves — BigSmall is expected to hold a large equity share in the AI venture. The specifics of the equity arrangement, the governance terms, the IP-licensing or reference-use terms between BigSmall and the venture, and the inter-company commercial framework are out of scope for this AI plan and are for the business plan and the Innovation Centre's structure to determine. This plan flags the partnership as a structural assumption so that readers understand (a) the low per-head rates here are partnership-favoured rates contingent on the equity arrangement being in place, and (b) Mindgap and ATP are cited as evidence of capability, not as assets the venture owns.</w:t>
      </w:r>
    </w:p>
    <w:p>
      <w:pPr>
        <w:pStyle w:val="Heading1"/>
        <w:spacing w:after="180" w:before="360"/>
      </w:pPr>
      <w:r>
        <w:rPr>
          <w:rFonts w:ascii="Arial" w:cs="Arial" w:eastAsia="Arial" w:hAnsi="Arial"/>
          <w:b/>
          <w:bCs/>
          <w:sz w:val="32"/>
          <w:szCs w:val="32"/>
        </w:rPr>
        <w:t xml:space="preserve">3. The two-pillar foundation</w:t>
      </w:r>
    </w:p>
    <w:p>
      <w:pPr>
        <w:pStyle w:val="Heading2"/>
        <w:spacing w:after="140" w:before="280"/>
      </w:pPr>
      <w:r>
        <w:rPr>
          <w:rFonts w:ascii="Arial" w:cs="Arial" w:eastAsia="Arial" w:hAnsi="Arial"/>
          <w:b/>
          <w:bCs/>
          <w:sz w:val="28"/>
          <w:szCs w:val="28"/>
        </w:rPr>
        <w:t xml:space="preserve">3.1 Pillar 1 — Agentic Instruments</w:t>
      </w:r>
    </w:p>
    <w:p>
      <w:pPr>
        <w:spacing w:after="120" w:line="300"/>
        <w:jc w:val="left"/>
      </w:pPr>
      <w:r>
        <w:rPr>
          <w:rFonts w:ascii="Arial" w:cs="Arial" w:eastAsia="Arial" w:hAnsi="Arial"/>
          <w:b w:val="false"/>
          <w:bCs w:val="false"/>
          <w:i w:val="false"/>
          <w:iCs w:val="false"/>
          <w:sz w:val="22"/>
          <w:szCs w:val="22"/>
        </w:rPr>
        <w:t xml:space="preserve">An agentic instrument is a Claude plugin that, in addition to the base skill contract, carries the following twelve structural properties. Mindgap — BigSmall's marketing-intelligence plugin — is the class's first reference instance in the partnership context; the definition below is a generalisation extracted from Mindgap's architecture rather than a specification imposed on it. Mindgap remains BigSmall's work; the venture's own Pillar-1 instruments are new work built by the venture's team to the same discipline.</w:t>
      </w:r>
    </w:p>
    <w:p>
      <w:pPr>
        <w:pStyle w:val="Heading3"/>
        <w:spacing w:after="120" w:before="220"/>
      </w:pPr>
      <w:r>
        <w:rPr>
          <w:rFonts w:ascii="Arial" w:cs="Arial" w:eastAsia="Arial" w:hAnsi="Arial"/>
          <w:b/>
          <w:bCs/>
          <w:sz w:val="24"/>
          <w:szCs w:val="24"/>
        </w:rPr>
        <w:t xml:space="preserve">The twelve properties</w:t>
      </w:r>
    </w:p>
    <w:p>
      <w:pPr>
        <w:pStyle w:val="ListParagraph"/>
        <w:numPr>
          <w:ilvl w:val="0"/>
          <w:numId w:val="3"/>
        </w:numPr>
        <w:spacing w:after="80" w:line="300"/>
      </w:pPr>
      <w:r>
        <w:rPr>
          <w:rFonts w:ascii="Arial" w:cs="Arial" w:eastAsia="Arial" w:hAnsi="Arial"/>
          <w:sz w:val="22"/>
          <w:szCs w:val="22"/>
        </w:rPr>
        <w:t xml:space="preserve">Versioned curated knowledge base. A domain corpus the instrument reads but the client does not rewrite, calendar-versioned, reviewed on cadence, fail-close or fail-soft per market. Mindgap's knowledge/ directory (VERSION 2026.04-r3, Vietnamese and Chinese norm libraries, global floor rules) is the reference.</w:t>
      </w:r>
    </w:p>
    <w:p>
      <w:pPr>
        <w:pStyle w:val="ListParagraph"/>
        <w:numPr>
          <w:ilvl w:val="0"/>
          <w:numId w:val="3"/>
        </w:numPr>
        <w:spacing w:after="80" w:line="300"/>
      </w:pPr>
      <w:r>
        <w:rPr>
          <w:rFonts w:ascii="Arial" w:cs="Arial" w:eastAsia="Arial" w:hAnsi="Arial"/>
          <w:sz w:val="22"/>
          <w:szCs w:val="22"/>
        </w:rPr>
        <w:t xml:space="preserve">Designed multi-agent workflow. Specialist sub-agents dispatched in parallel with persona isolation — each with its own context window, question bank, and lens. Mindgap fans out five (perception, context, decision, agent, mediation) from a single skill task.</w:t>
      </w:r>
    </w:p>
    <w:p>
      <w:pPr>
        <w:pStyle w:val="ListParagraph"/>
        <w:numPr>
          <w:ilvl w:val="0"/>
          <w:numId w:val="3"/>
        </w:numPr>
        <w:spacing w:after="80" w:line="300"/>
      </w:pPr>
      <w:r>
        <w:rPr>
          <w:rFonts w:ascii="Arial" w:cs="Arial" w:eastAsia="Arial" w:hAnsi="Arial"/>
          <w:sz w:val="22"/>
          <w:szCs w:val="22"/>
        </w:rPr>
        <w:t xml:space="preserve">Deterministic calculators. Pure code — outside the LLM — that converts LLM-scored arrays into reproducible numbers. Geometric means, intensity normalisation, gate classification. Mindgap's h-score.py, a-score.py, m-score.py, r-score.py, override.py, recommendations.py form the reference set.</w:t>
      </w:r>
    </w:p>
    <w:p>
      <w:pPr>
        <w:pStyle w:val="ListParagraph"/>
        <w:numPr>
          <w:ilvl w:val="0"/>
          <w:numId w:val="3"/>
        </w:numPr>
        <w:spacing w:after="80" w:line="300"/>
      </w:pPr>
      <w:r>
        <w:rPr>
          <w:rFonts w:ascii="Arial" w:cs="Arial" w:eastAsia="Arial" w:hAnsi="Arial"/>
          <w:sz w:val="22"/>
          <w:szCs w:val="22"/>
        </w:rPr>
        <w:t xml:space="preserve">Risk-management and gating flow. A veto layer with typed outcomes, preconditions that refuse to run on missing input, floor rules that structurally reject overrides, and — where permitted — a signed override chain with validator-checked scope, expiry, and mitigation coverage.</w:t>
      </w:r>
    </w:p>
    <w:p>
      <w:pPr>
        <w:pStyle w:val="ListParagraph"/>
        <w:numPr>
          <w:ilvl w:val="0"/>
          <w:numId w:val="3"/>
        </w:numPr>
        <w:spacing w:after="80" w:line="300"/>
      </w:pPr>
      <w:r>
        <w:rPr>
          <w:rFonts w:ascii="Arial" w:cs="Arial" w:eastAsia="Arial" w:hAnsi="Arial"/>
          <w:sz w:val="22"/>
          <w:szCs w:val="22"/>
        </w:rPr>
        <w:t xml:space="preserve">Rendering contract. Single-file HTML outputs with inlined assets, pinned chart library versions, invariant sections, citation on every number, and a template-substitution-only contract that makes re-authoring a contract violation.</w:t>
      </w:r>
    </w:p>
    <w:p>
      <w:pPr>
        <w:pStyle w:val="ListParagraph"/>
        <w:numPr>
          <w:ilvl w:val="0"/>
          <w:numId w:val="3"/>
        </w:numPr>
        <w:spacing w:after="80" w:line="300"/>
      </w:pPr>
      <w:r>
        <w:rPr>
          <w:rFonts w:ascii="Arial" w:cs="Arial" w:eastAsia="Arial" w:hAnsi="Arial"/>
          <w:sz w:val="22"/>
          <w:szCs w:val="22"/>
        </w:rPr>
        <w:t xml:space="preserve">Cross-cutting references. Working-folder contract, elicitation-form contract, citation rule, report invariants, brand-loader — shared across every skill in the plugin so the discipline is coherent.</w:t>
      </w:r>
    </w:p>
    <w:p>
      <w:pPr>
        <w:pStyle w:val="ListParagraph"/>
        <w:numPr>
          <w:ilvl w:val="0"/>
          <w:numId w:val="3"/>
        </w:numPr>
        <w:spacing w:after="80" w:line="300"/>
      </w:pPr>
      <w:r>
        <w:rPr>
          <w:rFonts w:ascii="Arial" w:cs="Arial" w:eastAsia="Arial" w:hAnsi="Arial"/>
          <w:sz w:val="22"/>
          <w:szCs w:val="22"/>
        </w:rPr>
        <w:t xml:space="preserve">Validator. A script that enforces the contracts at build time — schema compliance, review freshness, trigger-vocabulary alignment, disallowed-element detection.</w:t>
      </w:r>
    </w:p>
    <w:p>
      <w:pPr>
        <w:pStyle w:val="ListParagraph"/>
        <w:numPr>
          <w:ilvl w:val="0"/>
          <w:numId w:val="3"/>
        </w:numPr>
        <w:spacing w:after="80" w:line="300"/>
      </w:pPr>
      <w:r>
        <w:rPr>
          <w:rFonts w:ascii="Arial" w:cs="Arial" w:eastAsia="Arial" w:hAnsi="Arial"/>
          <w:sz w:val="22"/>
          <w:szCs w:val="22"/>
        </w:rPr>
        <w:t xml:space="preserve">Supporting code infrastructure. Helper code beyond the calculators — video extractors, working-folder resolvers, template substituters, KB loaders, risk-brief assemblers.</w:t>
      </w:r>
    </w:p>
    <w:p>
      <w:pPr>
        <w:pStyle w:val="ListParagraph"/>
        <w:numPr>
          <w:ilvl w:val="0"/>
          <w:numId w:val="3"/>
        </w:numPr>
        <w:spacing w:after="80" w:line="300"/>
      </w:pPr>
      <w:r>
        <w:rPr>
          <w:rFonts w:ascii="Arial" w:cs="Arial" w:eastAsia="Arial" w:hAnsi="Arial"/>
          <w:sz w:val="22"/>
          <w:szCs w:val="22"/>
        </w:rPr>
        <w:t xml:space="preserve">Tenanted deployment posture with security and privacy guarantees. Who installs, where the KB lives, what gets logged, what leaves the client's boundary, how updates propagate, how authentication works if a remote MCP server is involved, how PII in working-folder artefacts is handled. This property is where the cybersecurity company becomes a structural input rather than an optional cross-sell.</w:t>
      </w:r>
    </w:p>
    <w:p>
      <w:pPr>
        <w:pStyle w:val="ListParagraph"/>
        <w:numPr>
          <w:ilvl w:val="0"/>
          <w:numId w:val="3"/>
        </w:numPr>
        <w:spacing w:after="80" w:line="300"/>
      </w:pPr>
      <w:r>
        <w:rPr>
          <w:rFonts w:ascii="Arial" w:cs="Arial" w:eastAsia="Arial" w:hAnsi="Arial"/>
          <w:sz w:val="22"/>
          <w:szCs w:val="22"/>
        </w:rPr>
        <w:t xml:space="preserve">Typed external-data connector contract. Two sub-properties: (a) orchestration across Anthropic-native and MCP-ecosystem connectors for commodity SaaS sources — Google Drive, Notion, Figma, Slack, SharePoint, HubSpot, Box, and so on, as Mindgap already demonstrates; and (b) custom connectors — MCP servers or direct adapters — for client-specific systems including local ERPs (MISA, Bravo, Fast, Effect), proprietary SQL databases, internal APIs, e-invoice providers, Zalo OA archives, and government submission portals. Custom-connector engineering is part of instrument deployment; accumulated connectors form a proprietary library that compounds across clients.</w:t>
      </w:r>
    </w:p>
    <w:p>
      <w:pPr>
        <w:pStyle w:val="ListParagraph"/>
        <w:numPr>
          <w:ilvl w:val="0"/>
          <w:numId w:val="3"/>
        </w:numPr>
        <w:spacing w:after="80" w:line="300"/>
      </w:pPr>
      <w:r>
        <w:rPr>
          <w:rFonts w:ascii="Arial" w:cs="Arial" w:eastAsia="Arial" w:hAnsi="Arial"/>
          <w:sz w:val="22"/>
          <w:szCs w:val="22"/>
        </w:rPr>
        <w:t xml:space="preserve">Quality agentic web search. A layer that separates curated knowledge (the plugin's KB, versioned) from live evidence (open-web search, real-time pulls), triggers search only when the pipeline calls for it, quality-filters and deduplicates returned evidence, marks live-evidence citations distinctly from KB citations, and degrades gracefully when search is unavailable.</w:t>
      </w:r>
    </w:p>
    <w:p>
      <w:pPr>
        <w:pStyle w:val="ListParagraph"/>
        <w:numPr>
          <w:ilvl w:val="0"/>
          <w:numId w:val="3"/>
        </w:numPr>
        <w:spacing w:after="80" w:line="300"/>
      </w:pPr>
      <w:r>
        <w:rPr>
          <w:rFonts w:ascii="Arial" w:cs="Arial" w:eastAsia="Arial" w:hAnsi="Arial"/>
          <w:sz w:val="22"/>
          <w:szCs w:val="22"/>
        </w:rPr>
        <w:t xml:space="preserve">Generative-modality integration. A model-routing layer (which model for which request), a prompt-translation layer (the instrument owns creative-brief-to-prompt translation), a safety and brand overlay (generated outputs pass the same risk and alignment checks as human-authored content), and an asset-persistence contract. Mindgap's create-content skill already integrates GPT Image, Midjourney, Flux, Sora, Veo 3.1, Runway.</w:t>
      </w:r>
    </w:p>
    <w:p>
      <w:pPr>
        <w:pStyle w:val="Heading3"/>
        <w:spacing w:after="120" w:before="220"/>
      </w:pPr>
      <w:r>
        <w:rPr>
          <w:rFonts w:ascii="Arial" w:cs="Arial" w:eastAsia="Arial" w:hAnsi="Arial"/>
          <w:b/>
          <w:bCs/>
          <w:sz w:val="24"/>
          <w:szCs w:val="24"/>
        </w:rPr>
        <w:t xml:space="preserve">Three-tier clustering of properties</w:t>
      </w:r>
    </w:p>
    <w:p>
      <w:pPr>
        <w:spacing w:after="120" w:line="300"/>
        <w:jc w:val="left"/>
      </w:pPr>
      <w:r>
        <w:rPr>
          <w:rFonts w:ascii="Arial" w:cs="Arial" w:eastAsia="Arial" w:hAnsi="Arial"/>
          <w:b w:val="false"/>
          <w:bCs w:val="false"/>
          <w:i w:val="false"/>
          <w:iCs w:val="false"/>
          <w:sz w:val="22"/>
          <w:szCs w:val="22"/>
        </w:rPr>
        <w:t xml:space="preserve">The twelve properties are not all equally load-bearing on every instrument. The plan recognises three tiers:</w:t>
      </w:r>
    </w:p>
    <w:p>
      <w:pPr>
        <w:pStyle w:val="ListParagraph"/>
        <w:numPr>
          <w:ilvl w:val="0"/>
          <w:numId w:val="2"/>
        </w:numPr>
        <w:spacing w:after="80" w:line="300"/>
      </w:pPr>
      <w:r>
        <w:rPr>
          <w:rFonts w:ascii="Arial" w:cs="Arial" w:eastAsia="Arial" w:hAnsi="Arial"/>
          <w:b/>
          <w:bCs/>
          <w:sz w:val="22"/>
          <w:szCs w:val="22"/>
        </w:rPr>
        <w:t xml:space="preserve">Defining properties</w:t>
      </w:r>
      <w:r>
        <w:rPr>
          <w:rFonts w:ascii="Arial" w:cs="Arial" w:eastAsia="Arial" w:hAnsi="Arial"/>
          <w:sz w:val="22"/>
          <w:szCs w:val="22"/>
        </w:rPr>
        <w:t xml:space="preserve"> — every instrument carries these: knowledge base, multi-agent workflow, deterministic calculators, rendering contract, cross-cutting references, validator, supporting code infrastructure, deployment posture. Absent any of these, the artefact is a skill, not an instrument.</w:t>
      </w:r>
    </w:p>
    <w:p>
      <w:pPr>
        <w:pStyle w:val="ListParagraph"/>
        <w:numPr>
          <w:ilvl w:val="0"/>
          <w:numId w:val="2"/>
        </w:numPr>
        <w:spacing w:after="80" w:line="300"/>
      </w:pPr>
      <w:r>
        <w:rPr>
          <w:rFonts w:ascii="Arial" w:cs="Arial" w:eastAsia="Arial" w:hAnsi="Arial"/>
          <w:b/>
          <w:bCs/>
          <w:sz w:val="22"/>
          <w:szCs w:val="22"/>
        </w:rPr>
        <w:t xml:space="preserve">Domain-triggered properties</w:t>
      </w:r>
      <w:r>
        <w:rPr>
          <w:rFonts w:ascii="Arial" w:cs="Arial" w:eastAsia="Arial" w:hAnsi="Arial"/>
          <w:sz w:val="22"/>
          <w:szCs w:val="22"/>
        </w:rPr>
        <w:t xml:space="preserve"> — appear when the domain demands them: risk gate for regulated or cultural domains, generative-modality integration for creative domains, external-data connectors for operations-integrated domains, web search for evidence-driven domains.</w:t>
      </w:r>
    </w:p>
    <w:p>
      <w:pPr>
        <w:pStyle w:val="ListParagraph"/>
        <w:numPr>
          <w:ilvl w:val="0"/>
          <w:numId w:val="2"/>
        </w:numPr>
        <w:spacing w:after="80" w:line="300"/>
      </w:pPr>
      <w:r>
        <w:rPr>
          <w:rFonts w:ascii="Arial" w:cs="Arial" w:eastAsia="Arial" w:hAnsi="Arial"/>
          <w:b/>
          <w:bCs/>
          <w:sz w:val="22"/>
          <w:szCs w:val="22"/>
        </w:rPr>
        <w:t xml:space="preserve">Scale-triggered properties</w:t>
      </w:r>
      <w:r>
        <w:rPr>
          <w:rFonts w:ascii="Arial" w:cs="Arial" w:eastAsia="Arial" w:hAnsi="Arial"/>
          <w:sz w:val="22"/>
          <w:szCs w:val="22"/>
        </w:rPr>
        <w:t xml:space="preserve"> — appear when the instrument graduates: remote MCP backend, server-side sub-agent pool, tenanted identity. These properties are the bridge from Pillar 1 to Pillar 2.</w:t>
      </w:r>
    </w:p>
    <w:p>
      <w:pPr>
        <w:pStyle w:val="Heading3"/>
        <w:spacing w:after="120" w:before="220"/>
      </w:pPr>
      <w:r>
        <w:rPr>
          <w:rFonts w:ascii="Arial" w:cs="Arial" w:eastAsia="Arial" w:hAnsi="Arial"/>
          <w:b/>
          <w:bCs/>
          <w:sz w:val="24"/>
          <w:szCs w:val="24"/>
        </w:rPr>
        <w:t xml:space="preserve">The tier language for clients</w:t>
      </w:r>
    </w:p>
    <w:p>
      <w:pPr>
        <w:spacing w:after="120" w:line="300"/>
        <w:jc w:val="left"/>
      </w:pPr>
      <w:r>
        <w:rPr>
          <w:rFonts w:ascii="Arial" w:cs="Arial" w:eastAsia="Arial" w:hAnsi="Arial"/>
          <w:b w:val="false"/>
          <w:bCs w:val="false"/>
          <w:i w:val="false"/>
          <w:iCs w:val="false"/>
          <w:sz w:val="22"/>
          <w:szCs w:val="22"/>
        </w:rPr>
        <w:t xml:space="preserve">Not every skill the venture deploys will be a full instrument, and the plan explicitly accepts this. Client engagements sort into three tiers:</w:t>
      </w:r>
    </w:p>
    <w:p>
      <w:pPr>
        <w:pStyle w:val="ListParagraph"/>
        <w:numPr>
          <w:ilvl w:val="0"/>
          <w:numId w:val="2"/>
        </w:numPr>
        <w:spacing w:after="80" w:line="300"/>
      </w:pPr>
      <w:r>
        <w:rPr>
          <w:rFonts w:ascii="Arial" w:cs="Arial" w:eastAsia="Arial" w:hAnsi="Arial"/>
          <w:b/>
          <w:bCs/>
          <w:sz w:val="22"/>
          <w:szCs w:val="22"/>
        </w:rPr>
        <w:t xml:space="preserve">Thin skills</w:t>
      </w:r>
      <w:r>
        <w:rPr>
          <w:rFonts w:ascii="Arial" w:cs="Arial" w:eastAsia="Arial" w:hAnsi="Arial"/>
          <w:sz w:val="22"/>
          <w:szCs w:val="22"/>
        </w:rPr>
        <w:t xml:space="preserve"> — template-grade Claude plugins. Meeting summaries, draft emails, weekly status rollups, routine document flows. These diffuse into client self-build over twelve to twenty-four months. Feasibility is high but IP is low; technically, a client with Claude Max and a capable engineer can build them.</w:t>
      </w:r>
    </w:p>
    <w:p>
      <w:pPr>
        <w:pStyle w:val="ListParagraph"/>
        <w:numPr>
          <w:ilvl w:val="0"/>
          <w:numId w:val="2"/>
        </w:numPr>
        <w:spacing w:after="80" w:line="300"/>
      </w:pPr>
      <w:r>
        <w:rPr>
          <w:rFonts w:ascii="Arial" w:cs="Arial" w:eastAsia="Arial" w:hAnsi="Arial"/>
          <w:b/>
          <w:bCs/>
          <w:sz w:val="22"/>
          <w:szCs w:val="22"/>
        </w:rPr>
        <w:t xml:space="preserve">Instruments</w:t>
      </w:r>
      <w:r>
        <w:rPr>
          <w:rFonts w:ascii="Arial" w:cs="Arial" w:eastAsia="Arial" w:hAnsi="Arial"/>
          <w:sz w:val="22"/>
          <w:szCs w:val="22"/>
        </w:rPr>
        <w:t xml:space="preserve"> — Mindgap-grade plugins. Marketing intelligence, legal analysis, quality surveying, compliance review, localised finance operations. These do not diffuse, because the curated KB, the calculator discipline, the sub-agent design, the rendering contract, and the deployment posture require research-engineering labour the client does not have. This is the class of work the venture is structurally equipped to produce.</w:t>
      </w:r>
    </w:p>
    <w:p>
      <w:pPr>
        <w:pStyle w:val="ListParagraph"/>
        <w:numPr>
          <w:ilvl w:val="0"/>
          <w:numId w:val="2"/>
        </w:numPr>
        <w:spacing w:after="80" w:line="300"/>
      </w:pPr>
      <w:r>
        <w:rPr>
          <w:rFonts w:ascii="Arial" w:cs="Arial" w:eastAsia="Arial" w:hAnsi="Arial"/>
          <w:b/>
          <w:bCs/>
          <w:sz w:val="22"/>
          <w:szCs w:val="22"/>
        </w:rPr>
        <w:t xml:space="preserve">Backend-bound systems</w:t>
      </w:r>
      <w:r>
        <w:rPr>
          <w:rFonts w:ascii="Arial" w:cs="Arial" w:eastAsia="Arial" w:hAnsi="Arial"/>
          <w:sz w:val="22"/>
          <w:szCs w:val="22"/>
        </w:rPr>
        <w:t xml:space="preserve"> — ATP-grade engagements. Cross-domain governance, regulated-market infrastructure, physical-world integrations with IoT, security-sensitive transactional workflows. These are Pillar 2.</w:t>
      </w:r>
    </w:p>
    <w:p>
      <w:pPr>
        <w:pStyle w:val="Heading3"/>
        <w:spacing w:after="120" w:before="220"/>
      </w:pPr>
      <w:r>
        <w:rPr>
          <w:rFonts w:ascii="Arial" w:cs="Arial" w:eastAsia="Arial" w:hAnsi="Arial"/>
          <w:b/>
          <w:bCs/>
          <w:sz w:val="24"/>
          <w:szCs w:val="24"/>
        </w:rPr>
        <w:t xml:space="preserve">Deliverables per Pillar-1 engagement</w:t>
      </w:r>
    </w:p>
    <w:p>
      <w:pPr>
        <w:spacing w:after="120" w:line="300"/>
        <w:jc w:val="left"/>
      </w:pPr>
      <w:r>
        <w:rPr>
          <w:rFonts w:ascii="Arial" w:cs="Arial" w:eastAsia="Arial" w:hAnsi="Arial"/>
          <w:b w:val="false"/>
          <w:bCs w:val="false"/>
          <w:i w:val="false"/>
          <w:iCs w:val="false"/>
          <w:sz w:val="22"/>
          <w:szCs w:val="22"/>
        </w:rPr>
        <w:t xml:space="preserve">For each engagement, the venture produces:</w:t>
      </w:r>
    </w:p>
    <w:p>
      <w:pPr>
        <w:pStyle w:val="ListParagraph"/>
        <w:numPr>
          <w:ilvl w:val="0"/>
          <w:numId w:val="2"/>
        </w:numPr>
        <w:spacing w:after="80" w:line="300"/>
      </w:pPr>
      <w:r>
        <w:rPr>
          <w:rFonts w:ascii="Arial" w:cs="Arial" w:eastAsia="Arial" w:hAnsi="Arial"/>
          <w:sz w:val="22"/>
          <w:szCs w:val="22"/>
        </w:rPr>
        <w:t xml:space="preserve">Instrument selection and customisation — choosing from the catalogue and adapting to the client's specific operational surface.</w:t>
      </w:r>
    </w:p>
    <w:p>
      <w:pPr>
        <w:pStyle w:val="ListParagraph"/>
        <w:numPr>
          <w:ilvl w:val="0"/>
          <w:numId w:val="2"/>
        </w:numPr>
        <w:spacing w:after="80" w:line="300"/>
      </w:pPr>
      <w:r>
        <w:rPr>
          <w:rFonts w:ascii="Arial" w:cs="Arial" w:eastAsia="Arial" w:hAnsi="Arial"/>
          <w:sz w:val="22"/>
          <w:szCs w:val="22"/>
        </w:rPr>
        <w:t xml:space="preserve">Localisation — Vietnamese language, Vietnamese operational context, Vietnamese legal and cultural grounding where relevant.</w:t>
      </w:r>
    </w:p>
    <w:p>
      <w:pPr>
        <w:pStyle w:val="ListParagraph"/>
        <w:numPr>
          <w:ilvl w:val="0"/>
          <w:numId w:val="2"/>
        </w:numPr>
        <w:spacing w:after="80" w:line="300"/>
      </w:pPr>
      <w:r>
        <w:rPr>
          <w:rFonts w:ascii="Arial" w:cs="Arial" w:eastAsia="Arial" w:hAnsi="Arial"/>
          <w:sz w:val="22"/>
          <w:szCs w:val="22"/>
        </w:rPr>
        <w:t xml:space="preserve">Custom connector engineering — for client-specific systems not covered by the commodity connector ecosystem.</w:t>
      </w:r>
    </w:p>
    <w:p>
      <w:pPr>
        <w:pStyle w:val="ListParagraph"/>
        <w:numPr>
          <w:ilvl w:val="0"/>
          <w:numId w:val="2"/>
        </w:numPr>
        <w:spacing w:after="80" w:line="300"/>
      </w:pPr>
      <w:r>
        <w:rPr>
          <w:rFonts w:ascii="Arial" w:cs="Arial" w:eastAsia="Arial" w:hAnsi="Arial"/>
          <w:sz w:val="22"/>
          <w:szCs w:val="22"/>
        </w:rPr>
        <w:t xml:space="preserve">Deployment — into the client's Claude environment, with tenanted posture, security review, and data-flow policy documented.</w:t>
      </w:r>
    </w:p>
    <w:p>
      <w:pPr>
        <w:pStyle w:val="ListParagraph"/>
        <w:numPr>
          <w:ilvl w:val="0"/>
          <w:numId w:val="2"/>
        </w:numPr>
        <w:spacing w:after="80" w:line="300"/>
      </w:pPr>
      <w:r>
        <w:rPr>
          <w:rFonts w:ascii="Arial" w:cs="Arial" w:eastAsia="Arial" w:hAnsi="Arial"/>
          <w:sz w:val="22"/>
          <w:szCs w:val="22"/>
        </w:rPr>
        <w:t xml:space="preserve">Training — of the client's operators, at the instrument-use level and at the light-customisation level.</w:t>
      </w:r>
    </w:p>
    <w:p>
      <w:pPr>
        <w:pStyle w:val="ListParagraph"/>
        <w:numPr>
          <w:ilvl w:val="0"/>
          <w:numId w:val="2"/>
        </w:numPr>
        <w:spacing w:after="80" w:line="300"/>
      </w:pPr>
      <w:r>
        <w:rPr>
          <w:rFonts w:ascii="Arial" w:cs="Arial" w:eastAsia="Arial" w:hAnsi="Arial"/>
          <w:sz w:val="22"/>
          <w:szCs w:val="22"/>
        </w:rPr>
        <w:t xml:space="preserve">Maintenance — KB version updates, validator-enforced drift prevention, connector maintenance as client systems change, and instrument improvements on a release cadence.</w:t>
      </w:r>
    </w:p>
    <w:p>
      <w:pPr>
        <w:pStyle w:val="Heading2"/>
        <w:spacing w:after="140" w:before="280"/>
      </w:pPr>
      <w:r>
        <w:rPr>
          <w:rFonts w:ascii="Arial" w:cs="Arial" w:eastAsia="Arial" w:hAnsi="Arial"/>
          <w:b/>
          <w:bCs/>
          <w:sz w:val="28"/>
          <w:szCs w:val="28"/>
        </w:rPr>
        <w:t xml:space="preserve">3.2 Pillar 2 — Agentic Systems</w:t>
      </w:r>
    </w:p>
    <w:p>
      <w:pPr>
        <w:spacing w:after="120" w:line="300"/>
        <w:jc w:val="left"/>
      </w:pPr>
      <w:r>
        <w:rPr>
          <w:rFonts w:ascii="Arial" w:cs="Arial" w:eastAsia="Arial" w:hAnsi="Arial"/>
          <w:b w:val="false"/>
          <w:bCs w:val="false"/>
          <w:i w:val="false"/>
          <w:iCs w:val="false"/>
          <w:sz w:val="22"/>
          <w:szCs w:val="22"/>
        </w:rPr>
        <w:t xml:space="preserve">A Pillar-2 agentic system is an engagement that exceeds what a Claude-side plugin can cleanly carry. ATP — BigSmall's governance-analysis backend for Vietnam crypto exchanges — is the class's first reference instance in the partnership context. It is not a skill with extras; it is a remote MCP server with server-side agents, curated evidence stores, OAuth-tenanted identity, and a multi-stage pipeline (gather_context → gather_evidence → web search enrichment → evaluate_legal → evaluate_[design/attack/spec] → simulate → render) that returns a deterministic report to a thin Claude-side skill interface. ATP remains BigSmall's work; the venture's own Pillar-2 systems are new builds specialised from the same reference architecture.</w:t>
      </w:r>
    </w:p>
    <w:p>
      <w:pPr>
        <w:pStyle w:val="Heading3"/>
        <w:spacing w:after="120" w:before="220"/>
      </w:pPr>
      <w:r>
        <w:rPr>
          <w:rFonts w:ascii="Arial" w:cs="Arial" w:eastAsia="Arial" w:hAnsi="Arial"/>
          <w:b/>
          <w:bCs/>
          <w:sz w:val="24"/>
          <w:szCs w:val="24"/>
        </w:rPr>
        <w:t xml:space="preserve">When a problem is Pillar 2 rather than Pillar 1</w:t>
      </w:r>
    </w:p>
    <w:p>
      <w:pPr>
        <w:spacing w:after="120" w:line="300"/>
        <w:jc w:val="left"/>
      </w:pPr>
      <w:r>
        <w:rPr>
          <w:rFonts w:ascii="Arial" w:cs="Arial" w:eastAsia="Arial" w:hAnsi="Arial"/>
          <w:b w:val="false"/>
          <w:bCs w:val="false"/>
          <w:i w:val="false"/>
          <w:iCs w:val="false"/>
          <w:sz w:val="22"/>
          <w:szCs w:val="22"/>
        </w:rPr>
        <w:t xml:space="preserve">The venture triages an incoming engagement to Pillar 2 when any of the following conditions hold:</w:t>
      </w:r>
    </w:p>
    <w:p>
      <w:pPr>
        <w:pStyle w:val="ListParagraph"/>
        <w:numPr>
          <w:ilvl w:val="0"/>
          <w:numId w:val="2"/>
        </w:numPr>
        <w:spacing w:after="80" w:line="300"/>
      </w:pPr>
      <w:r>
        <w:rPr>
          <w:rFonts w:ascii="Arial" w:cs="Arial" w:eastAsia="Arial" w:hAnsi="Arial"/>
          <w:sz w:val="22"/>
          <w:szCs w:val="22"/>
        </w:rPr>
        <w:t xml:space="preserve">The workload requires a curated corpus too large or too sensitive to ship inside a plugin — Vietnamese legal-text databases, regulator-position archives, precedent-incident libraries, sector-specific compliance corpora.</w:t>
      </w:r>
    </w:p>
    <w:p>
      <w:pPr>
        <w:pStyle w:val="ListParagraph"/>
        <w:numPr>
          <w:ilvl w:val="0"/>
          <w:numId w:val="2"/>
        </w:numPr>
        <w:spacing w:after="80" w:line="300"/>
      </w:pPr>
      <w:r>
        <w:rPr>
          <w:rFonts w:ascii="Arial" w:cs="Arial" w:eastAsia="Arial" w:hAnsi="Arial"/>
          <w:sz w:val="22"/>
          <w:szCs w:val="22"/>
        </w:rPr>
        <w:t xml:space="preserve">The pipeline requires multi-agent orchestration on the server side, with agents that need persistent state, long-running evaluation, or access to third-party data sources that should not be exposed client-side.</w:t>
      </w:r>
    </w:p>
    <w:p>
      <w:pPr>
        <w:pStyle w:val="ListParagraph"/>
        <w:numPr>
          <w:ilvl w:val="0"/>
          <w:numId w:val="2"/>
        </w:numPr>
        <w:spacing w:after="80" w:line="300"/>
      </w:pPr>
      <w:r>
        <w:rPr>
          <w:rFonts w:ascii="Arial" w:cs="Arial" w:eastAsia="Arial" w:hAnsi="Arial"/>
          <w:sz w:val="22"/>
          <w:szCs w:val="22"/>
        </w:rPr>
        <w:t xml:space="preserve">The engagement requires OAuth-tenanted identity, audit logging, and tenant-level governance that a Claude working folder cannot provide.</w:t>
      </w:r>
    </w:p>
    <w:p>
      <w:pPr>
        <w:pStyle w:val="ListParagraph"/>
        <w:numPr>
          <w:ilvl w:val="0"/>
          <w:numId w:val="2"/>
        </w:numPr>
        <w:spacing w:after="80" w:line="300"/>
      </w:pPr>
      <w:r>
        <w:rPr>
          <w:rFonts w:ascii="Arial" w:cs="Arial" w:eastAsia="Arial" w:hAnsi="Arial"/>
          <w:sz w:val="22"/>
          <w:szCs w:val="22"/>
        </w:rPr>
        <w:t xml:space="preserve">The engagement composes across the Innovation Centre's cybersecurity and IoT companies, requiring coordinated authorisation, telemetry, and actuation that only a shared backend can carry.</w:t>
      </w:r>
    </w:p>
    <w:p>
      <w:pPr>
        <w:pStyle w:val="ListParagraph"/>
        <w:numPr>
          <w:ilvl w:val="0"/>
          <w:numId w:val="2"/>
        </w:numPr>
        <w:spacing w:after="80" w:line="300"/>
      </w:pPr>
      <w:r>
        <w:rPr>
          <w:rFonts w:ascii="Arial" w:cs="Arial" w:eastAsia="Arial" w:hAnsi="Arial"/>
          <w:sz w:val="22"/>
          <w:szCs w:val="22"/>
        </w:rPr>
        <w:t xml:space="preserve">The workload involves physical-world integration — sensors, actuators, edge gateways — that must route through an IoT backend.</w:t>
      </w:r>
    </w:p>
    <w:p>
      <w:pPr>
        <w:pStyle w:val="Heading3"/>
        <w:spacing w:after="120" w:before="220"/>
      </w:pPr>
      <w:r>
        <w:rPr>
          <w:rFonts w:ascii="Arial" w:cs="Arial" w:eastAsia="Arial" w:hAnsi="Arial"/>
          <w:b/>
          <w:bCs/>
          <w:sz w:val="24"/>
          <w:szCs w:val="24"/>
        </w:rPr>
        <w:t xml:space="preserve">Reference architecture</w:t>
      </w:r>
    </w:p>
    <w:p>
      <w:pPr>
        <w:spacing w:after="120" w:line="300"/>
        <w:jc w:val="left"/>
      </w:pPr>
      <w:r>
        <w:rPr>
          <w:rFonts w:ascii="Arial" w:cs="Arial" w:eastAsia="Arial" w:hAnsi="Arial"/>
          <w:b w:val="false"/>
          <w:bCs w:val="false"/>
          <w:i w:val="false"/>
          <w:iCs w:val="false"/>
          <w:sz w:val="22"/>
          <w:szCs w:val="22"/>
        </w:rPr>
        <w:t xml:space="preserve">The venture maintains a reference architecture for Pillar-2 engagements rather than a planned product list. The architecture specifies:</w:t>
      </w:r>
    </w:p>
    <w:p>
      <w:pPr>
        <w:pStyle w:val="ListParagraph"/>
        <w:numPr>
          <w:ilvl w:val="0"/>
          <w:numId w:val="2"/>
        </w:numPr>
        <w:spacing w:after="80" w:line="300"/>
      </w:pPr>
      <w:r>
        <w:rPr>
          <w:rFonts w:ascii="Arial" w:cs="Arial" w:eastAsia="Arial" w:hAnsi="Arial"/>
          <w:sz w:val="22"/>
          <w:szCs w:val="22"/>
        </w:rPr>
        <w:t xml:space="preserve">Client surface: a thin Claude-side skill or plugin that is the user's entry point. The skill defers to the backend for heavy lifting and renders the backend's deterministic output using the Pillar-1 rendering contract.</w:t>
      </w:r>
    </w:p>
    <w:p>
      <w:pPr>
        <w:pStyle w:val="ListParagraph"/>
        <w:numPr>
          <w:ilvl w:val="0"/>
          <w:numId w:val="2"/>
        </w:numPr>
        <w:spacing w:after="80" w:line="300"/>
      </w:pPr>
      <w:r>
        <w:rPr>
          <w:rFonts w:ascii="Arial" w:cs="Arial" w:eastAsia="Arial" w:hAnsi="Arial"/>
          <w:sz w:val="22"/>
          <w:szCs w:val="22"/>
        </w:rPr>
        <w:t xml:space="preserve">Authentication: OAuth 2.1 between Claude-side and backend, with tenant identity preserved end-to-end.</w:t>
      </w:r>
    </w:p>
    <w:p>
      <w:pPr>
        <w:pStyle w:val="ListParagraph"/>
        <w:numPr>
          <w:ilvl w:val="0"/>
          <w:numId w:val="2"/>
        </w:numPr>
        <w:spacing w:after="80" w:line="300"/>
      </w:pPr>
      <w:r>
        <w:rPr>
          <w:rFonts w:ascii="Arial" w:cs="Arial" w:eastAsia="Arial" w:hAnsi="Arial"/>
          <w:sz w:val="22"/>
          <w:szCs w:val="22"/>
        </w:rPr>
        <w:t xml:space="preserve">Agent orchestration: server-side multi-agent pipeline with typed stages (context gathering, evidence gathering, domain evaluation, simulation, rendering) and structured blobs passed between stages.</w:t>
      </w:r>
    </w:p>
    <w:p>
      <w:pPr>
        <w:pStyle w:val="ListParagraph"/>
        <w:numPr>
          <w:ilvl w:val="0"/>
          <w:numId w:val="2"/>
        </w:numPr>
        <w:spacing w:after="80" w:line="300"/>
      </w:pPr>
      <w:r>
        <w:rPr>
          <w:rFonts w:ascii="Arial" w:cs="Arial" w:eastAsia="Arial" w:hAnsi="Arial"/>
          <w:sz w:val="22"/>
          <w:szCs w:val="22"/>
        </w:rPr>
        <w:t xml:space="preserve">Curated evidence stores: server-side corpora with review cadence, versioning, and per-tenant access policy.</w:t>
      </w:r>
    </w:p>
    <w:p>
      <w:pPr>
        <w:pStyle w:val="ListParagraph"/>
        <w:numPr>
          <w:ilvl w:val="0"/>
          <w:numId w:val="2"/>
        </w:numPr>
        <w:spacing w:after="80" w:line="300"/>
      </w:pPr>
      <w:r>
        <w:rPr>
          <w:rFonts w:ascii="Arial" w:cs="Arial" w:eastAsia="Arial" w:hAnsi="Arial"/>
          <w:sz w:val="22"/>
          <w:szCs w:val="22"/>
        </w:rPr>
        <w:t xml:space="preserve">Audit and logging: every backend call logged with tenant, stage, input fingerprint, and output hash, available to the client on demand.</w:t>
      </w:r>
    </w:p>
    <w:p>
      <w:pPr>
        <w:pStyle w:val="ListParagraph"/>
        <w:numPr>
          <w:ilvl w:val="0"/>
          <w:numId w:val="2"/>
        </w:numPr>
        <w:spacing w:after="80" w:line="300"/>
      </w:pPr>
      <w:r>
        <w:rPr>
          <w:rFonts w:ascii="Arial" w:cs="Arial" w:eastAsia="Arial" w:hAnsi="Arial"/>
          <w:sz w:val="22"/>
          <w:szCs w:val="22"/>
        </w:rPr>
        <w:t xml:space="preserve">Cross-venture composition hooks: typed interfaces into the cybersecurity company's identity and policy stack, and into the IoT company's edge and telemetry stack.</w:t>
      </w:r>
    </w:p>
    <w:p>
      <w:pPr>
        <w:pStyle w:val="Heading3"/>
        <w:spacing w:after="120" w:before="220"/>
      </w:pPr>
      <w:r>
        <w:rPr>
          <w:rFonts w:ascii="Arial" w:cs="Arial" w:eastAsia="Arial" w:hAnsi="Arial"/>
          <w:b/>
          <w:bCs/>
          <w:sz w:val="24"/>
          <w:szCs w:val="24"/>
        </w:rPr>
        <w:t xml:space="preserve">Deliverables per Pillar-2 engagement</w:t>
      </w:r>
    </w:p>
    <w:p>
      <w:pPr>
        <w:pStyle w:val="ListParagraph"/>
        <w:numPr>
          <w:ilvl w:val="0"/>
          <w:numId w:val="2"/>
        </w:numPr>
        <w:spacing w:after="80" w:line="300"/>
      </w:pPr>
      <w:r>
        <w:rPr>
          <w:rFonts w:ascii="Arial" w:cs="Arial" w:eastAsia="Arial" w:hAnsi="Arial"/>
          <w:sz w:val="22"/>
          <w:szCs w:val="22"/>
        </w:rPr>
        <w:t xml:space="preserve">System design and scope — mapping the client's problem to the reference architecture.</w:t>
      </w:r>
    </w:p>
    <w:p>
      <w:pPr>
        <w:pStyle w:val="ListParagraph"/>
        <w:numPr>
          <w:ilvl w:val="0"/>
          <w:numId w:val="2"/>
        </w:numPr>
        <w:spacing w:after="80" w:line="300"/>
      </w:pPr>
      <w:r>
        <w:rPr>
          <w:rFonts w:ascii="Arial" w:cs="Arial" w:eastAsia="Arial" w:hAnsi="Arial"/>
          <w:sz w:val="22"/>
          <w:szCs w:val="22"/>
        </w:rPr>
        <w:t xml:space="preserve">Build — the backend, the Claude-side surface, the curated corpus, the custom connectors, and the cross-venture composition.</w:t>
      </w:r>
    </w:p>
    <w:p>
      <w:pPr>
        <w:pStyle w:val="ListParagraph"/>
        <w:numPr>
          <w:ilvl w:val="0"/>
          <w:numId w:val="2"/>
        </w:numPr>
        <w:spacing w:after="80" w:line="300"/>
      </w:pPr>
      <w:r>
        <w:rPr>
          <w:rFonts w:ascii="Arial" w:cs="Arial" w:eastAsia="Arial" w:hAnsi="Arial"/>
          <w:sz w:val="22"/>
          <w:szCs w:val="22"/>
        </w:rPr>
        <w:t xml:space="preserve">Deployment — into the client's environment or the venture's hosted infrastructure, with the appropriate governance posture.</w:t>
      </w:r>
    </w:p>
    <w:p>
      <w:pPr>
        <w:pStyle w:val="ListParagraph"/>
        <w:numPr>
          <w:ilvl w:val="0"/>
          <w:numId w:val="2"/>
        </w:numPr>
        <w:spacing w:after="80" w:line="300"/>
      </w:pPr>
      <w:r>
        <w:rPr>
          <w:rFonts w:ascii="Arial" w:cs="Arial" w:eastAsia="Arial" w:hAnsi="Arial"/>
          <w:sz w:val="22"/>
          <w:szCs w:val="22"/>
        </w:rPr>
        <w:t xml:space="preserve">Training — of client operators and, where relevant, client administrators who manage tenants inside the system.</w:t>
      </w:r>
    </w:p>
    <w:p>
      <w:pPr>
        <w:pStyle w:val="ListParagraph"/>
        <w:numPr>
          <w:ilvl w:val="0"/>
          <w:numId w:val="2"/>
        </w:numPr>
        <w:spacing w:after="80" w:line="300"/>
      </w:pPr>
      <w:r>
        <w:rPr>
          <w:rFonts w:ascii="Arial" w:cs="Arial" w:eastAsia="Arial" w:hAnsi="Arial"/>
          <w:sz w:val="22"/>
          <w:szCs w:val="22"/>
        </w:rPr>
        <w:t xml:space="preserve">Maintenance and operation — KB refreshes, agent-prompt updates, model-version migrations, validator runs, infrastructure operations, and the credit-based metering described in the cost section.</w:t>
      </w:r>
    </w:p>
    <w:p>
      <w:pPr>
        <w:pStyle w:val="Heading3"/>
        <w:spacing w:after="120" w:before="220"/>
      </w:pPr>
      <w:r>
        <w:rPr>
          <w:rFonts w:ascii="Arial" w:cs="Arial" w:eastAsia="Arial" w:hAnsi="Arial"/>
          <w:b/>
          <w:bCs/>
          <w:sz w:val="24"/>
          <w:szCs w:val="24"/>
        </w:rPr>
        <w:t xml:space="preserve">Engagement pattern</w:t>
      </w:r>
    </w:p>
    <w:p>
      <w:pPr>
        <w:spacing w:after="120" w:line="300"/>
        <w:jc w:val="left"/>
      </w:pPr>
      <w:r>
        <w:rPr>
          <w:rFonts w:ascii="Arial" w:cs="Arial" w:eastAsia="Arial" w:hAnsi="Arial"/>
          <w:b w:val="false"/>
          <w:bCs w:val="false"/>
          <w:i w:val="false"/>
          <w:iCs w:val="false"/>
          <w:sz w:val="22"/>
          <w:szCs w:val="22"/>
        </w:rPr>
        <w:t xml:space="preserve">Pillar-2 engagements do not announce themselves on a roadmap. The pattern is: a client surfaces a cross-domain or backend-grade problem; the venture runs a short scoping engagement against the reference architecture (one to two weeks, during which the reference architecture is specialised into a draft system design); the client signs a build engagement against that specialisation; the build follows the reference architecture's templates and the connector library; operation transitions to a maintenance contract.</w:t>
      </w:r>
    </w:p>
    <w:p>
      <w:pPr>
        <w:spacing w:after="120" w:line="300"/>
        <w:jc w:val="left"/>
      </w:pPr>
      <w:r>
        <w:rPr>
          <w:rFonts w:ascii="Arial" w:cs="Arial" w:eastAsia="Arial" w:hAnsi="Arial"/>
          <w:b w:val="false"/>
          <w:bCs w:val="false"/>
          <w:i w:val="false"/>
          <w:iCs w:val="false"/>
          <w:sz w:val="22"/>
          <w:szCs w:val="22"/>
        </w:rPr>
        <w:t xml:space="preserve">The venture's commitment is not a catalogue of Pillar-2 products. It is speed to mobilise on a new Pillar-2 engagement — the reference architecture, the connector library, the backend component library, and the engagement pattern together constitute that mobilisation readiness.</w:t>
      </w:r>
    </w:p>
    <w:p>
      <w:pPr>
        <w:pStyle w:val="Heading2"/>
        <w:spacing w:after="140" w:before="280"/>
      </w:pPr>
      <w:r>
        <w:rPr>
          <w:rFonts w:ascii="Arial" w:cs="Arial" w:eastAsia="Arial" w:hAnsi="Arial"/>
          <w:b/>
          <w:bCs/>
          <w:sz w:val="28"/>
          <w:szCs w:val="28"/>
        </w:rPr>
        <w:t xml:space="preserve">3.3 Synergy with the cybersecurity and IoT companies</w:t>
      </w:r>
    </w:p>
    <w:p>
      <w:pPr>
        <w:spacing w:after="120" w:line="300"/>
        <w:jc w:val="left"/>
      </w:pPr>
      <w:r>
        <w:rPr>
          <w:rFonts w:ascii="Arial" w:cs="Arial" w:eastAsia="Arial" w:hAnsi="Arial"/>
          <w:b w:val="false"/>
          <w:bCs w:val="false"/>
          <w:i w:val="false"/>
          <w:iCs w:val="false"/>
          <w:sz w:val="22"/>
          <w:szCs w:val="22"/>
        </w:rPr>
        <w:t xml:space="preserve">The three Innovation Centre companies compose at two surfaces.</w:t>
      </w:r>
    </w:p>
    <w:p>
      <w:pPr>
        <w:pStyle w:val="Heading3"/>
        <w:spacing w:after="120" w:before="220"/>
      </w:pPr>
      <w:r>
        <w:rPr>
          <w:rFonts w:ascii="Arial" w:cs="Arial" w:eastAsia="Arial" w:hAnsi="Arial"/>
          <w:b/>
          <w:bCs/>
          <w:sz w:val="24"/>
          <w:szCs w:val="24"/>
        </w:rPr>
        <w:t xml:space="preserve">Client-side trust surface (Pillar 1)</w:t>
      </w:r>
    </w:p>
    <w:p>
      <w:pPr>
        <w:spacing w:after="120" w:line="300"/>
        <w:jc w:val="left"/>
      </w:pPr>
      <w:r>
        <w:rPr>
          <w:rFonts w:ascii="Arial" w:cs="Arial" w:eastAsia="Arial" w:hAnsi="Arial"/>
          <w:b w:val="false"/>
          <w:bCs w:val="false"/>
          <w:i w:val="false"/>
          <w:iCs w:val="false"/>
          <w:sz w:val="22"/>
          <w:szCs w:val="22"/>
        </w:rPr>
        <w:t xml:space="preserve">Properties 9 (deployment posture) and 10b (custom connectors) are where the cybersecurity company contributes to Pillar 1 engagements. Credential vaulting for client SQL and ERP access, service-account provisioning, network-level access policy, audit logging on connector reads, and data-flow documentation are cybersec's native domain. A Vietnamese bank, a regulated insurer, or a provincial department of finance will not permit a Claude-side instrument to touch their data without this stack; the venture's instruments clear this bar because the cybersec company is a structural input, not a sales cross-sell.</w:t>
      </w:r>
    </w:p>
    <w:p>
      <w:pPr>
        <w:spacing w:after="120" w:line="300"/>
        <w:jc w:val="left"/>
      </w:pPr>
      <w:r>
        <w:rPr>
          <w:rFonts w:ascii="Arial" w:cs="Arial" w:eastAsia="Arial" w:hAnsi="Arial"/>
          <w:b w:val="false"/>
          <w:bCs w:val="false"/>
          <w:i w:val="false"/>
          <w:iCs w:val="false"/>
          <w:sz w:val="22"/>
          <w:szCs w:val="22"/>
        </w:rPr>
        <w:t xml:space="preserve">The IoT company contributes when an instrument needs to observe or act on physical state — a warehouse QS instrument that reads sensor data, a facility-management instrument that triggers actuators, a field-operations instrument that pulls telemetry. In Pillar 1, this integration is typically a read-only connector through an IoT-company edge gateway, which keeps the physical-world surface outside the Claude working folder.</w:t>
      </w:r>
    </w:p>
    <w:p>
      <w:pPr>
        <w:pStyle w:val="Heading3"/>
        <w:spacing w:after="120" w:before="220"/>
      </w:pPr>
      <w:r>
        <w:rPr>
          <w:rFonts w:ascii="Arial" w:cs="Arial" w:eastAsia="Arial" w:hAnsi="Arial"/>
          <w:b/>
          <w:bCs/>
          <w:sz w:val="24"/>
          <w:szCs w:val="24"/>
        </w:rPr>
        <w:t xml:space="preserve">Server-side composition surface (Pillar 2)</w:t>
      </w:r>
    </w:p>
    <w:p>
      <w:pPr>
        <w:spacing w:after="120" w:line="300"/>
        <w:jc w:val="left"/>
      </w:pPr>
      <w:r>
        <w:rPr>
          <w:rFonts w:ascii="Arial" w:cs="Arial" w:eastAsia="Arial" w:hAnsi="Arial"/>
          <w:b w:val="false"/>
          <w:bCs w:val="false"/>
          <w:i w:val="false"/>
          <w:iCs w:val="false"/>
          <w:sz w:val="22"/>
          <w:szCs w:val="22"/>
        </w:rPr>
        <w:t xml:space="preserve">In Pillar 2, composition becomes peer-to-peer. A cross-venture engagement places cybersec controls, IoT telemetry, and AI reasoning as first-class components in a shared backend. ATP is already an instance of this pattern applied to governance analysis (legal controls + security controls + agent reasoning); the same scaffolding generalises to supply-chain integrity, facility monitoring, fraud detection, and regulated-transactional infrastructure. The cross-venture engagement is the natural high-value zone for the AI venture inside the Innovation Centre; it is also the zone that most directly justifies the three-company structure to external audiences.</w:t>
      </w:r>
    </w:p>
    <w:p>
      <w:pPr>
        <w:pStyle w:val="Heading1"/>
        <w:spacing w:after="180" w:before="360"/>
      </w:pPr>
      <w:r>
        <w:rPr>
          <w:rFonts w:ascii="Arial" w:cs="Arial" w:eastAsia="Arial" w:hAnsi="Arial"/>
          <w:b/>
          <w:bCs/>
          <w:sz w:val="32"/>
          <w:szCs w:val="32"/>
        </w:rPr>
        <w:t xml:space="preserve">4. Technical differentiation</w:t>
      </w:r>
    </w:p>
    <w:p>
      <w:pPr>
        <w:spacing w:after="120" w:line="300"/>
        <w:jc w:val="left"/>
      </w:pPr>
      <w:r>
        <w:rPr>
          <w:rFonts w:ascii="Arial" w:cs="Arial" w:eastAsia="Arial" w:hAnsi="Arial"/>
          <w:b w:val="false"/>
          <w:bCs w:val="false"/>
          <w:i w:val="false"/>
          <w:iCs w:val="false"/>
          <w:sz w:val="22"/>
          <w:szCs w:val="22"/>
        </w:rPr>
        <w:t xml:space="preserve">This section addresses an AI-feasibility question, not a market-positioning question. Given that Claude Max at $100/month can call custom skills, and given that freelance developers and generic systems integrators can produce skill-level work, the question is: at each of the three tiers, what is technically achievable by (a) client self-build with Claude Max, (b) a freelancer or generic integrator, and (c) the venture as described in section 3, and where do those paths diverge technically? The tables below compare outputs, not prices.</w:t>
      </w:r>
    </w:p>
    <w:p>
      <w:pPr>
        <w:pStyle w:val="Heading2"/>
        <w:spacing w:after="140" w:before="280"/>
      </w:pPr>
      <w:r>
        <w:rPr>
          <w:rFonts w:ascii="Arial" w:cs="Arial" w:eastAsia="Arial" w:hAnsi="Arial"/>
          <w:b/>
          <w:bCs/>
          <w:sz w:val="28"/>
          <w:szCs w:val="28"/>
        </w:rPr>
        <w:t xml:space="preserve">4.1 Thin-skill tier — technical parity</w:t>
      </w:r>
    </w:p>
    <w:p>
      <w:pPr>
        <w:spacing w:after="120" w:line="300"/>
        <w:jc w:val="left"/>
      </w:pPr>
      <w:r>
        <w:rPr>
          <w:rFonts w:ascii="Arial" w:cs="Arial" w:eastAsia="Arial" w:hAnsi="Arial"/>
          <w:b w:val="false"/>
          <w:bCs w:val="false"/>
          <w:i w:val="false"/>
          <w:iCs w:val="false"/>
          <w:sz w:val="22"/>
          <w:szCs w:val="22"/>
        </w:rPr>
        <w:t xml:space="preserve">At this tier, client self-build with Claude Max and template plugins is technically sufficient for most thin-skill use cases within 12-24 months. The venture has no durable technical advantage at this tier, which is consistent with the tier language in section 3.1.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Dimension</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Client self-build</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Anthropic template marketplace</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Venture offering</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Time to first use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Days to weeks (skill-level)</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Hours (install only)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Days — includes localisation + training</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Vietnamese localisation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 does it themselves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None; English-first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Native; VN-first defaults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Accountability for output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Internal team</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None (template only)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Venture on the hook</w:t>
            </w:r>
          </w:p>
        </w:tc>
      </w:tr>
      <w:tr>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bCs/>
                <w:sz w:val="20"/>
                <w:szCs w:val="20"/>
              </w:rPr>
              <w:t xml:space="preserve">Technical advantage margin for the venture</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Narrows over time</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Minimal</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Small — essentially quality + localisation</w:t>
            </w:r>
          </w:p>
        </w:tc>
      </w:tr>
    </w:tbl>
    <w:p>
      <w:pPr>
        <w:spacing w:after="120" w:line="300"/>
        <w:jc w:val="left"/>
      </w:pPr>
      <w:r>
        <w:rPr>
          <w:rFonts w:ascii="Arial" w:cs="Arial" w:eastAsia="Arial" w:hAnsi="Arial"/>
          <w:b w:val="false"/>
          <w:bCs w:val="false"/>
          <w:i w:val="false"/>
          <w:iCs w:val="false"/>
          <w:sz w:val="22"/>
          <w:szCs w:val="22"/>
        </w:rPr>
        <w:t xml:space="preserve"/>
      </w:r>
    </w:p>
    <w:p>
      <w:pPr>
        <w:pStyle w:val="Heading2"/>
        <w:spacing w:after="140" w:before="280"/>
      </w:pPr>
      <w:r>
        <w:rPr>
          <w:rFonts w:ascii="Arial" w:cs="Arial" w:eastAsia="Arial" w:hAnsi="Arial"/>
          <w:b/>
          <w:bCs/>
          <w:sz w:val="28"/>
          <w:szCs w:val="28"/>
        </w:rPr>
        <w:t xml:space="preserve">4.2 Instrument tier — technical divergence</w:t>
      </w:r>
    </w:p>
    <w:p>
      <w:pPr>
        <w:spacing w:after="120" w:line="300"/>
        <w:jc w:val="left"/>
      </w:pPr>
      <w:r>
        <w:rPr>
          <w:rFonts w:ascii="Arial" w:cs="Arial" w:eastAsia="Arial" w:hAnsi="Arial"/>
          <w:b w:val="false"/>
          <w:bCs w:val="false"/>
          <w:i w:val="false"/>
          <w:iCs w:val="false"/>
          <w:sz w:val="22"/>
          <w:szCs w:val="22"/>
        </w:rPr>
        <w:t xml:space="preserve">An instrument is not a harder skill; it is a different class of artefact. The comparison below enumerates, property by property, what each path can technically produce at this tier. The venture's technical advantage is the compound of several properties that none of the alternative paths closes within a realistic engagement.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Property</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Client self-build (with Claude Max)</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Freelancer / generic integrator</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Venture instrument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Curated VN knowledge base (reviewed on cadence)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one-shot, stale within months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scoped to the contract, not maintained</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versioned, review cadence, validator-enforced</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Multi-agent workflow (specialist sub-agents, persona isolation)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Rare — default is single-prompt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Sometimes — not a discipline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Mindgap fans out 5 sub-agents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Deterministic calculators (math outside the LLM)</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scores drift run to run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Occasionally — ad hoc</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pure-Python, reproducible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Risk / gating flow (veto, preconditions, signed overrides)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Mindgap's R-score, floor rules, override chain</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Rendering contract (single-file, pinned viz, citation on every number)</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output quality varies per run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bespoke per deliverable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template-substitution contract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Custom connectors to VN ERPs, SQL, e-invoice, Zalo OA</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Per-client build, no reuse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Per-client build, no reuse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Compounding library across clients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Deployment posture (audit, identity, VN cybersec + privacy-law compliant)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 sources cybersec separately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Often weak — not the integrator's specialty</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Structural — cybersec company is a built-in input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Maintenance over time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Internal team — often abandoned after the builder leaves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Ends at contract close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Release cadence with validator + KB refresh</w:t>
            </w:r>
          </w:p>
        </w:tc>
      </w:tr>
      <w:tr>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bCs/>
                <w:sz w:val="20"/>
                <w:szCs w:val="20"/>
              </w:rPr>
              <w:t xml:space="preserve">Technical durability over 24 months</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Drifts — KB stale, scores non-reproducible, builder attrition</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Frozen at handover — no review cadence after contract</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Maintained — KB refreshed, validator catches drift, connectors compound</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b w:val="false"/>
          <w:bCs w:val="false"/>
          <w:i w:val="false"/>
          <w:iCs w:val="false"/>
          <w:sz w:val="22"/>
          <w:szCs w:val="22"/>
        </w:rPr>
        <w:t xml:space="preserve">The bottom row is the technical-feasibility claim. Self-built and integrator-built skills produce a point-in-time artefact whose quality decays as the KB stales, scores become non-reproducible, and the original builder moves on. A venture instrument is maintained against its twelve-property discipline — the KB is refreshed on cadence, the validator catches drift at build time, the connectors compound across clients, and the cybersec/privacy posture is structural. That difference is technical, not commercial.</w:t>
      </w:r>
    </w:p>
    <w:p>
      <w:pPr>
        <w:pStyle w:val="Heading2"/>
        <w:spacing w:after="140" w:before="280"/>
      </w:pPr>
      <w:r>
        <w:rPr>
          <w:rFonts w:ascii="Arial" w:cs="Arial" w:eastAsia="Arial" w:hAnsi="Arial"/>
          <w:b/>
          <w:bCs/>
          <w:sz w:val="28"/>
          <w:szCs w:val="28"/>
        </w:rPr>
        <w:t xml:space="preserve">4.3 Pillar-2 tier — feasibility set is specialist shops</w:t>
      </w:r>
    </w:p>
    <w:p>
      <w:pPr>
        <w:spacing w:after="120" w:line="300"/>
        <w:jc w:val="left"/>
      </w:pPr>
      <w:r>
        <w:rPr>
          <w:rFonts w:ascii="Arial" w:cs="Arial" w:eastAsia="Arial" w:hAnsi="Arial"/>
          <w:b w:val="false"/>
          <w:bCs w:val="false"/>
          <w:i w:val="false"/>
          <w:iCs w:val="false"/>
          <w:sz w:val="22"/>
          <w:szCs w:val="22"/>
        </w:rPr>
        <w:t xml:space="preserve">At this tier, client self-build is technically infeasible for realistic timelines — standing up an OAuth-tenanted MCP backend with multi-agent orchestration, curated corpora, audit logging, and cross-venture composition is months of focused engineering that is outside the operational capacity of a mid-market business or government unit. The alternative feasibility set is other specialist AI engineering shops and systems integrators.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Dimension</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Client self-build</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Generic systems integrator</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Venture (AI + cybersec + IoT)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Reference architecture ready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Partial — AI-specific parts are weak</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ATP-validated pattern</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Multi-agent pipeline design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Rare as a core competence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Core competence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Curated VN corpus at server side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not in their model</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BigSmall's research channel</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Cross-venture composition (cybersec + IoT)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Procure separately, integrate painfully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Sub-contract, coordination overhead</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In-group; native composition</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Mobilisation time to scope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Months of internal deliberation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Weeks — discovery-heavy</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1-2 weeks — reference architecture specialises quickly</w:t>
            </w:r>
          </w:p>
        </w:tc>
      </w:tr>
      <w:tr>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bCs/>
                <w:sz w:val="20"/>
                <w:szCs w:val="20"/>
              </w:rPr>
              <w:t xml:space="preserve">Per-run compute cost observability</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Unknown until built</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Opaque — bundled into engagement fee</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Observable per run — ATP-calibrated at ~$10/report baseline (~$30/deliverable with 3× iteration)</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b w:val="false"/>
          <w:bCs w:val="false"/>
          <w:i w:val="false"/>
          <w:iCs w:val="false"/>
          <w:sz w:val="22"/>
          <w:szCs w:val="22"/>
        </w:rPr>
        <w:t xml:space="preserve">The decisive technical feature at Pillar 2 is cross-venture composition. A system that composes AI reasoning + cybersecurity controls + IoT telemetry from a single engineering group avoids the coordination overhead that makes most cross-domain projects slow and fragile. This is a structural outcome of the Innovation Centre's three-company composition — the AI venture does not have to contract the cybersec and IoT surfaces as external dependencies; they are siblings.</w:t>
      </w:r>
    </w:p>
    <w:p>
      <w:pPr>
        <w:pStyle w:val="Heading1"/>
        <w:spacing w:after="180" w:before="360"/>
      </w:pPr>
      <w:r>
        <w:rPr>
          <w:rFonts w:ascii="Arial" w:cs="Arial" w:eastAsia="Arial" w:hAnsi="Arial"/>
          <w:b/>
          <w:bCs/>
          <w:sz w:val="32"/>
          <w:szCs w:val="32"/>
        </w:rPr>
        <w:t xml:space="preserve">5. Buildability and readiness</w:t>
      </w:r>
    </w:p>
    <w:p>
      <w:pPr>
        <w:spacing w:after="120" w:line="300"/>
        <w:jc w:val="left"/>
      </w:pPr>
      <w:r>
        <w:rPr>
          <w:rFonts w:ascii="Arial" w:cs="Arial" w:eastAsia="Arial" w:hAnsi="Arial"/>
          <w:b w:val="false"/>
          <w:bCs w:val="false"/>
          <w:i w:val="false"/>
          <w:iCs w:val="false"/>
          <w:sz w:val="22"/>
          <w:szCs w:val="22"/>
        </w:rPr>
        <w:t xml:space="preserve">This section describes what the venture can build and how quickly — an engineering-capacity question, not a product-strategy question. It operates at two layers: a catalogue-plus-readiness-window model for Pillar 1, and a reference-architecture-plus-mobilisation model for Pillar 2. Both layers operate under a single operating principle: always aim for fastest production deployment — treated as a design constraint on the engineering work, not a slogan.</w:t>
      </w:r>
    </w:p>
    <w:p>
      <w:pPr>
        <w:pStyle w:val="Heading2"/>
        <w:spacing w:after="140" w:before="280"/>
      </w:pPr>
      <w:r>
        <w:rPr>
          <w:rFonts w:ascii="Arial" w:cs="Arial" w:eastAsia="Arial" w:hAnsi="Arial"/>
          <w:b/>
          <w:bCs/>
          <w:sz w:val="28"/>
          <w:szCs w:val="28"/>
        </w:rPr>
        <w:t xml:space="preserve">5.1 Generation velocity versus deployment velocity</w:t>
      </w:r>
    </w:p>
    <w:p>
      <w:pPr>
        <w:spacing w:after="120" w:line="300"/>
        <w:jc w:val="left"/>
      </w:pPr>
      <w:r>
        <w:rPr>
          <w:rFonts w:ascii="Arial" w:cs="Arial" w:eastAsia="Arial" w:hAnsi="Arial"/>
          <w:b w:val="false"/>
          <w:bCs w:val="false"/>
          <w:i w:val="false"/>
          <w:iCs w:val="false"/>
          <w:sz w:val="22"/>
          <w:szCs w:val="22"/>
        </w:rPr>
        <w:t xml:space="preserve">Two different tempos matter, and the plan separates them to avoid the overpromise pattern that conflates them:</w:t>
      </w:r>
    </w:p>
    <w:p>
      <w:pPr>
        <w:pStyle w:val="ListParagraph"/>
        <w:numPr>
          <w:ilvl w:val="0"/>
          <w:numId w:val="2"/>
        </w:numPr>
        <w:spacing w:after="80" w:line="300"/>
      </w:pPr>
      <w:r>
        <w:rPr>
          <w:rFonts w:ascii="Arial" w:cs="Arial" w:eastAsia="Arial" w:hAnsi="Arial"/>
          <w:b/>
          <w:bCs/>
          <w:sz w:val="22"/>
          <w:szCs w:val="22"/>
        </w:rPr>
        <w:t xml:space="preserve">Instrument generation velocity</w:t>
      </w:r>
      <w:r>
        <w:rPr>
          <w:rFonts w:ascii="Arial" w:cs="Arial" w:eastAsia="Arial" w:hAnsi="Arial"/>
          <w:sz w:val="22"/>
          <w:szCs w:val="22"/>
        </w:rPr>
        <w:t xml:space="preserve"> — how fast the venture can ship a new Pillar-1 instrument from scoping to first production use. This is R&amp;D-limited. Mindgap is the empirical anchor: it exists today, having been built under the same team and discipline this venture operates under.</w:t>
      </w:r>
    </w:p>
    <w:p>
      <w:pPr>
        <w:pStyle w:val="ListParagraph"/>
        <w:numPr>
          <w:ilvl w:val="0"/>
          <w:numId w:val="2"/>
        </w:numPr>
        <w:spacing w:after="80" w:line="300"/>
      </w:pPr>
      <w:r>
        <w:rPr>
          <w:rFonts w:ascii="Arial" w:cs="Arial" w:eastAsia="Arial" w:hAnsi="Arial"/>
          <w:b/>
          <w:bCs/>
          <w:sz w:val="22"/>
          <w:szCs w:val="22"/>
        </w:rPr>
        <w:t xml:space="preserve">Instrument deployment velocity</w:t>
      </w:r>
      <w:r>
        <w:rPr>
          <w:rFonts w:ascii="Arial" w:cs="Arial" w:eastAsia="Arial" w:hAnsi="Arial"/>
          <w:sz w:val="22"/>
          <w:szCs w:val="22"/>
        </w:rPr>
        <w:t xml:space="preserve"> — how fast an already-shipped instrument can be landed in a new client environment, with their connectors, their data, their operators trained. This is ops-limited. The second deployment of any instrument is materially faster than the first, because the connector library and the deployment playbook compound.</w:t>
      </w:r>
    </w:p>
    <w:p>
      <w:pPr>
        <w:spacing w:after="120" w:line="300"/>
        <w:jc w:val="left"/>
      </w:pPr>
      <w:r>
        <w:rPr>
          <w:rFonts w:ascii="Arial" w:cs="Arial" w:eastAsia="Arial" w:hAnsi="Arial"/>
          <w:b w:val="false"/>
          <w:bCs w:val="false"/>
          <w:i w:val="false"/>
          <w:iCs w:val="false"/>
          <w:sz w:val="22"/>
          <w:szCs w:val="22"/>
        </w:rPr>
        <w:t xml:space="preserve">Stakeholders often merge these into a single "how fast can you deliver" question. The venture answers it with two numbers, not one, and communicates both to clients during scoping.</w:t>
      </w:r>
    </w:p>
    <w:p>
      <w:pPr>
        <w:pStyle w:val="Heading2"/>
        <w:spacing w:after="140" w:before="280"/>
      </w:pPr>
      <w:r>
        <w:rPr>
          <w:rFonts w:ascii="Arial" w:cs="Arial" w:eastAsia="Arial" w:hAnsi="Arial"/>
          <w:b/>
          <w:bCs/>
          <w:sz w:val="28"/>
          <w:szCs w:val="28"/>
        </w:rPr>
        <w:t xml:space="preserve">5.2 Pillar 1 — catalogue with readiness windows</w:t>
      </w:r>
    </w:p>
    <w:p>
      <w:pPr>
        <w:spacing w:after="120" w:line="300"/>
        <w:jc w:val="left"/>
      </w:pPr>
      <w:r>
        <w:rPr>
          <w:rFonts w:ascii="Arial" w:cs="Arial" w:eastAsia="Arial" w:hAnsi="Arial"/>
          <w:b w:val="false"/>
          <w:bCs w:val="false"/>
          <w:i w:val="false"/>
          <w:iCs w:val="false"/>
          <w:sz w:val="22"/>
          <w:szCs w:val="22"/>
        </w:rPr>
        <w:t xml:space="preserve">The catalogue is organised into three readiness zones. Named candidate instruments inside each zone are indicative of the venture's current technical posture, not a calendar commitment; a client engagement is what triggers a specific instrument's promotion from candidate to commitment.</w:t>
      </w:r>
    </w:p>
    <w:p>
      <w:pPr>
        <w:pStyle w:val="Heading3"/>
        <w:spacing w:after="120" w:before="220"/>
      </w:pPr>
      <w:r>
        <w:rPr>
          <w:rFonts w:ascii="Arial" w:cs="Arial" w:eastAsia="Arial" w:hAnsi="Arial"/>
          <w:b/>
          <w:bCs/>
          <w:sz w:val="24"/>
          <w:szCs w:val="24"/>
        </w:rPr>
        <w:t xml:space="preserve">Ready now (zero-to-short deployment window)</w:t>
      </w:r>
    </w:p>
    <w:p>
      <w:pPr>
        <w:spacing w:after="120" w:line="300"/>
        <w:jc w:val="left"/>
      </w:pPr>
      <w:r>
        <w:rPr>
          <w:rFonts w:ascii="Arial" w:cs="Arial" w:eastAsia="Arial" w:hAnsi="Arial"/>
          <w:b w:val="false"/>
          <w:bCs w:val="false"/>
          <w:i w:val="false"/>
          <w:iCs w:val="false"/>
          <w:sz w:val="22"/>
          <w:szCs w:val="22"/>
        </w:rPr>
        <w:t xml:space="preserve">Instruments already built and deployable. Mindgap is in this zone today — it ships as a Claude plugin, carries all twelve structural properties, and can be deployed into a Vietnamese client's marketing operation with only localisation work. The venture's first client engagements will draw heavily from this zone.</w:t>
      </w:r>
    </w:p>
    <w:p>
      <w:pPr>
        <w:pStyle w:val="Heading3"/>
        <w:spacing w:after="120" w:before="220"/>
      </w:pPr>
      <w:r>
        <w:rPr>
          <w:rFonts w:ascii="Arial" w:cs="Arial" w:eastAsia="Arial" w:hAnsi="Arial"/>
          <w:b/>
          <w:bCs/>
          <w:sz w:val="24"/>
          <w:szCs w:val="24"/>
        </w:rPr>
        <w:t xml:space="preserve">One-window readiness (short-to-medium window)</w:t>
      </w:r>
    </w:p>
    <w:p>
      <w:pPr>
        <w:spacing w:after="120" w:line="300"/>
        <w:jc w:val="left"/>
      </w:pPr>
      <w:r>
        <w:rPr>
          <w:rFonts w:ascii="Arial" w:cs="Arial" w:eastAsia="Arial" w:hAnsi="Arial"/>
          <w:b w:val="false"/>
          <w:bCs w:val="false"/>
          <w:i w:val="false"/>
          <w:iCs w:val="false"/>
          <w:sz w:val="22"/>
          <w:szCs w:val="22"/>
        </w:rPr>
        <w:t xml:space="preserve">Instruments that can be delivered from a signed client engagement within one Mindgap-calibrated build window. The build window is the empirical time it took to bring Mindgap to its current release state, compressed by the fact that subsequent instruments inherit Mindgap's cross-cutting references, validator, rendering contract, and code infrastructure. In practice this is a range — faster when the domain has clean primary sources and an existing connector-library overlap, slower when the domain requires fresh KB curation.</w:t>
      </w:r>
    </w:p>
    <w:p>
      <w:pPr>
        <w:spacing w:after="120" w:line="300"/>
        <w:jc w:val="left"/>
      </w:pPr>
      <w:r>
        <w:rPr>
          <w:rFonts w:ascii="Arial" w:cs="Arial" w:eastAsia="Arial" w:hAnsi="Arial"/>
          <w:b w:val="false"/>
          <w:bCs w:val="false"/>
          <w:i w:val="false"/>
          <w:iCs w:val="false"/>
          <w:sz w:val="22"/>
          <w:szCs w:val="22"/>
        </w:rPr>
        <w:t xml:space="preserve">Candidate instruments in this zone include, in no planned order:</w:t>
      </w:r>
    </w:p>
    <w:p>
      <w:pPr>
        <w:pStyle w:val="ListParagraph"/>
        <w:numPr>
          <w:ilvl w:val="0"/>
          <w:numId w:val="2"/>
        </w:numPr>
        <w:spacing w:after="80" w:line="300"/>
      </w:pPr>
      <w:r>
        <w:rPr>
          <w:rFonts w:ascii="Arial" w:cs="Arial" w:eastAsia="Arial" w:hAnsi="Arial"/>
          <w:sz w:val="22"/>
          <w:szCs w:val="22"/>
        </w:rPr>
        <w:t xml:space="preserve">Finance-operations instrument — Vietnamese chart-of-accounts (Circular 200), VAS journal conventions, e-invoice schema handling (MISA, Viettel, FPT), variance analysis, close-management flows.</w:t>
      </w:r>
    </w:p>
    <w:p>
      <w:pPr>
        <w:pStyle w:val="ListParagraph"/>
        <w:numPr>
          <w:ilvl w:val="0"/>
          <w:numId w:val="2"/>
        </w:numPr>
        <w:spacing w:after="80" w:line="300"/>
      </w:pPr>
      <w:r>
        <w:rPr>
          <w:rFonts w:ascii="Arial" w:cs="Arial" w:eastAsia="Arial" w:hAnsi="Arial"/>
          <w:sz w:val="22"/>
          <w:szCs w:val="22"/>
        </w:rPr>
        <w:t xml:space="preserve">HR-operations instrument — Vietnamese Labour Code grounding, payroll-flow handling, statutory benefits and insurance calculations, bilingual policy-document flows.</w:t>
      </w:r>
    </w:p>
    <w:p>
      <w:pPr>
        <w:pStyle w:val="ListParagraph"/>
        <w:numPr>
          <w:ilvl w:val="0"/>
          <w:numId w:val="2"/>
        </w:numPr>
        <w:spacing w:after="80" w:line="300"/>
      </w:pPr>
      <w:r>
        <w:rPr>
          <w:rFonts w:ascii="Arial" w:cs="Arial" w:eastAsia="Arial" w:hAnsi="Arial"/>
          <w:sz w:val="22"/>
          <w:szCs w:val="22"/>
        </w:rPr>
        <w:t xml:space="preserve">Quality-survey (QS) instrument — for field-operation clients who need audit-grade quality surveys with reproducible scoring and reporting.</w:t>
      </w:r>
    </w:p>
    <w:p>
      <w:pPr>
        <w:pStyle w:val="ListParagraph"/>
        <w:numPr>
          <w:ilvl w:val="0"/>
          <w:numId w:val="2"/>
        </w:numPr>
        <w:spacing w:after="80" w:line="300"/>
      </w:pPr>
      <w:r>
        <w:rPr>
          <w:rFonts w:ascii="Arial" w:cs="Arial" w:eastAsia="Arial" w:hAnsi="Arial"/>
          <w:sz w:val="22"/>
          <w:szCs w:val="22"/>
        </w:rPr>
        <w:t xml:space="preserve">Legal-operations instrument — for Vietnamese commercial and compliance review at document-grade (contracts, DPAs, service agreements), grounded in the Civil Code and sectoral regulation.</w:t>
      </w:r>
    </w:p>
    <w:p>
      <w:pPr>
        <w:pStyle w:val="ListParagraph"/>
        <w:numPr>
          <w:ilvl w:val="0"/>
          <w:numId w:val="2"/>
        </w:numPr>
        <w:spacing w:after="80" w:line="300"/>
      </w:pPr>
      <w:r>
        <w:rPr>
          <w:rFonts w:ascii="Arial" w:cs="Arial" w:eastAsia="Arial" w:hAnsi="Arial"/>
          <w:sz w:val="22"/>
          <w:szCs w:val="22"/>
        </w:rPr>
        <w:t xml:space="preserve">Customer-support instrument — Vietnamese-language triage, escalation, KB drafting, and cross-channel (Zalo, email, Messenger) response flow.</w:t>
      </w:r>
    </w:p>
    <w:p>
      <w:pPr>
        <w:pStyle w:val="Heading3"/>
        <w:spacing w:after="120" w:before="220"/>
      </w:pPr>
      <w:r>
        <w:rPr>
          <w:rFonts w:ascii="Arial" w:cs="Arial" w:eastAsia="Arial" w:hAnsi="Arial"/>
          <w:b/>
          <w:bCs/>
          <w:sz w:val="24"/>
          <w:szCs w:val="24"/>
        </w:rPr>
        <w:t xml:space="preserve">Two-window readiness (medium-to-long window)</w:t>
      </w:r>
    </w:p>
    <w:p>
      <w:pPr>
        <w:spacing w:after="120" w:line="300"/>
        <w:jc w:val="left"/>
      </w:pPr>
      <w:r>
        <w:rPr>
          <w:rFonts w:ascii="Arial" w:cs="Arial" w:eastAsia="Arial" w:hAnsi="Arial"/>
          <w:b w:val="false"/>
          <w:bCs w:val="false"/>
          <w:i w:val="false"/>
          <w:iCs w:val="false"/>
          <w:sz w:val="22"/>
          <w:szCs w:val="22"/>
        </w:rPr>
        <w:t xml:space="preserve">Instruments whose KB curation or regulatory grounding is heavy enough that they require a longer lead. Candidate zones include:</w:t>
      </w:r>
    </w:p>
    <w:p>
      <w:pPr>
        <w:pStyle w:val="ListParagraph"/>
        <w:numPr>
          <w:ilvl w:val="0"/>
          <w:numId w:val="2"/>
        </w:numPr>
        <w:spacing w:after="80" w:line="300"/>
      </w:pPr>
      <w:r>
        <w:rPr>
          <w:rFonts w:ascii="Arial" w:cs="Arial" w:eastAsia="Arial" w:hAnsi="Arial"/>
          <w:sz w:val="22"/>
          <w:szCs w:val="22"/>
        </w:rPr>
        <w:t xml:space="preserve">Tax-compliance instrument — CIT, VAT, and PIT flows grounded in current regulations and circulars, with provincial variation handling and tax-authority submission integrations.</w:t>
      </w:r>
    </w:p>
    <w:p>
      <w:pPr>
        <w:pStyle w:val="ListParagraph"/>
        <w:numPr>
          <w:ilvl w:val="0"/>
          <w:numId w:val="2"/>
        </w:numPr>
        <w:spacing w:after="80" w:line="300"/>
      </w:pPr>
      <w:r>
        <w:rPr>
          <w:rFonts w:ascii="Arial" w:cs="Arial" w:eastAsia="Arial" w:hAnsi="Arial"/>
          <w:sz w:val="22"/>
          <w:szCs w:val="22"/>
        </w:rPr>
        <w:t xml:space="preserve">Healthcare-operations and clinical-research-ops instruments — regulated domains requiring MOH alignment and careful curation.</w:t>
      </w:r>
    </w:p>
    <w:p>
      <w:pPr>
        <w:pStyle w:val="ListParagraph"/>
        <w:numPr>
          <w:ilvl w:val="0"/>
          <w:numId w:val="2"/>
        </w:numPr>
        <w:spacing w:after="80" w:line="300"/>
      </w:pPr>
      <w:r>
        <w:rPr>
          <w:rFonts w:ascii="Arial" w:cs="Arial" w:eastAsia="Arial" w:hAnsi="Arial"/>
          <w:sz w:val="22"/>
          <w:szCs w:val="22"/>
        </w:rPr>
        <w:t xml:space="preserve">Banking-compliance instrument — KYC/AML grounding under SBV guidance and regulated-transactional workflow support.</w:t>
      </w:r>
    </w:p>
    <w:p>
      <w:pPr>
        <w:pStyle w:val="ListParagraph"/>
        <w:numPr>
          <w:ilvl w:val="0"/>
          <w:numId w:val="2"/>
        </w:numPr>
        <w:spacing w:after="80" w:line="300"/>
      </w:pPr>
      <w:r>
        <w:rPr>
          <w:rFonts w:ascii="Arial" w:cs="Arial" w:eastAsia="Arial" w:hAnsi="Arial"/>
          <w:sz w:val="22"/>
          <w:szCs w:val="22"/>
        </w:rPr>
        <w:t xml:space="preserve">Public-sector-operations instrument — procurement, document-flow, and citizen-service handling under the applicable administrative-procedures regulations.</w:t>
      </w:r>
    </w:p>
    <w:p>
      <w:pPr>
        <w:pStyle w:val="Heading3"/>
        <w:spacing w:after="120" w:before="220"/>
      </w:pPr>
      <w:r>
        <w:rPr>
          <w:rFonts w:ascii="Arial" w:cs="Arial" w:eastAsia="Arial" w:hAnsi="Arial"/>
          <w:b/>
          <w:bCs/>
          <w:sz w:val="24"/>
          <w:szCs w:val="24"/>
        </w:rPr>
        <w:t xml:space="preserve">Always-on principle: fastest production deployment</w:t>
      </w:r>
    </w:p>
    <w:p>
      <w:pPr>
        <w:spacing w:after="120" w:line="300"/>
        <w:jc w:val="left"/>
      </w:pPr>
      <w:r>
        <w:rPr>
          <w:rFonts w:ascii="Arial" w:cs="Arial" w:eastAsia="Arial" w:hAnsi="Arial"/>
          <w:b w:val="false"/>
          <w:bCs w:val="false"/>
          <w:i w:val="false"/>
          <w:iCs w:val="false"/>
          <w:sz w:val="22"/>
          <w:szCs w:val="22"/>
        </w:rPr>
        <w:t xml:space="preserve">Whatever the candidate's nominal readiness zone, the venture operates under a standing principle: from a signed client engagement, collapse the time to first production use to the shortest honest number. The connector library, the reference architecture, the Mindgap-inherited infrastructure, and the deployment playbook exist to make this possible. Ranges in the catalogue reflect honesty about variance, not a preferred pace.</w:t>
      </w:r>
    </w:p>
    <w:p>
      <w:pPr>
        <w:pStyle w:val="Heading2"/>
        <w:spacing w:after="140" w:before="280"/>
      </w:pPr>
      <w:r>
        <w:rPr>
          <w:rFonts w:ascii="Arial" w:cs="Arial" w:eastAsia="Arial" w:hAnsi="Arial"/>
          <w:b/>
          <w:bCs/>
          <w:sz w:val="28"/>
          <w:szCs w:val="28"/>
        </w:rPr>
        <w:t xml:space="preserve">5.3 Parallel track — the Vietnamese connector library</w:t>
      </w:r>
    </w:p>
    <w:p>
      <w:pPr>
        <w:spacing w:after="120" w:line="300"/>
        <w:jc w:val="left"/>
      </w:pPr>
      <w:r>
        <w:rPr>
          <w:rFonts w:ascii="Arial" w:cs="Arial" w:eastAsia="Arial" w:hAnsi="Arial"/>
          <w:b w:val="false"/>
          <w:bCs w:val="false"/>
          <w:i w:val="false"/>
          <w:iCs w:val="false"/>
          <w:sz w:val="22"/>
          <w:szCs w:val="22"/>
        </w:rPr>
        <w:t xml:space="preserve">Alongside the instrument catalogue, the venture maintains a connector library as a first-class Pillar-1 asset. The library accumulates a custom MCP server or direct adapter for each client-system type the venture encounters: local ERPs (MISA-Accounting, Bravo, Fast, Effect), proprietary SQL database patterns, e-invoice provider APIs (MISA, Viettel, FPT), messaging archives (Zalo OA), banking-portal integrations where permitted, tax-authority submission interfaces, and sector-specific applications.</w:t>
      </w:r>
    </w:p>
    <w:p>
      <w:pPr>
        <w:spacing w:after="120" w:line="300"/>
        <w:jc w:val="left"/>
      </w:pPr>
      <w:r>
        <w:rPr>
          <w:rFonts w:ascii="Arial" w:cs="Arial" w:eastAsia="Arial" w:hAnsi="Arial"/>
          <w:b w:val="false"/>
          <w:bCs w:val="false"/>
          <w:i w:val="false"/>
          <w:iCs w:val="false"/>
          <w:sz w:val="22"/>
          <w:szCs w:val="22"/>
        </w:rPr>
        <w:t xml:space="preserve">The library is a compounding asset. The first connector of any type is engineering work; subsequent deployments of the same connector across new clients are near-free. After two or three deployments in a vertical, new deployments in that vertical get materially cheaper because the connectors the instrument needs are already in the library. The library is also the scaffolding on which Pillar-2 engagements are built when Pillar-1 deployments hit their limits — a custom connector wrapped in a remote MCP server with server-side agents and governance is the Pillar-1-to-Pillar-2 graduation path.</w:t>
      </w:r>
    </w:p>
    <w:p>
      <w:pPr>
        <w:pStyle w:val="Heading2"/>
        <w:spacing w:after="140" w:before="280"/>
      </w:pPr>
      <w:r>
        <w:rPr>
          <w:rFonts w:ascii="Arial" w:cs="Arial" w:eastAsia="Arial" w:hAnsi="Arial"/>
          <w:b/>
          <w:bCs/>
          <w:sz w:val="28"/>
          <w:szCs w:val="28"/>
        </w:rPr>
        <w:t xml:space="preserve">5.4 Pillar 2 — reference architecture readiness</w:t>
      </w:r>
    </w:p>
    <w:p>
      <w:pPr>
        <w:spacing w:after="120" w:line="300"/>
        <w:jc w:val="left"/>
      </w:pPr>
      <w:r>
        <w:rPr>
          <w:rFonts w:ascii="Arial" w:cs="Arial" w:eastAsia="Arial" w:hAnsi="Arial"/>
          <w:b w:val="false"/>
          <w:bCs w:val="false"/>
          <w:i w:val="false"/>
          <w:iCs w:val="false"/>
          <w:sz w:val="22"/>
          <w:szCs w:val="22"/>
        </w:rPr>
        <w:t xml:space="preserve">Pillar 2 does not carry a catalogue. It carries a reference architecture, a component library, and a mobilisation readiness commitment:</w:t>
      </w:r>
    </w:p>
    <w:p>
      <w:pPr>
        <w:pStyle w:val="ListParagraph"/>
        <w:numPr>
          <w:ilvl w:val="0"/>
          <w:numId w:val="2"/>
        </w:numPr>
        <w:spacing w:after="80" w:line="300"/>
      </w:pPr>
      <w:r>
        <w:rPr>
          <w:rFonts w:ascii="Arial" w:cs="Arial" w:eastAsia="Arial" w:hAnsi="Arial"/>
          <w:sz w:val="22"/>
          <w:szCs w:val="22"/>
        </w:rPr>
        <w:t xml:space="preserve">Reference architecture — the ATP-demonstrated pattern: Claude-side skill interface; OAuth-tenanted remote MCP backend; multi-agent pipeline with typed stages; curated server-side corpora; audit logging and tenant identity end-to-end; cross-venture composition hooks.</w:t>
      </w:r>
    </w:p>
    <w:p>
      <w:pPr>
        <w:pStyle w:val="ListParagraph"/>
        <w:numPr>
          <w:ilvl w:val="0"/>
          <w:numId w:val="2"/>
        </w:numPr>
        <w:spacing w:after="80" w:line="300"/>
      </w:pPr>
      <w:r>
        <w:rPr>
          <w:rFonts w:ascii="Arial" w:cs="Arial" w:eastAsia="Arial" w:hAnsi="Arial"/>
          <w:sz w:val="22"/>
          <w:szCs w:val="22"/>
        </w:rPr>
        <w:t xml:space="preserve">Component library — reusable backend parts the venture develops and maintains: authentication, audit, evidence gathering, simulation engine, rendering adapter, cross-venture interface stubs. Every Pillar-2 engagement specialises these components rather than writing them fresh.</w:t>
      </w:r>
    </w:p>
    <w:p>
      <w:pPr>
        <w:pStyle w:val="ListParagraph"/>
        <w:numPr>
          <w:ilvl w:val="0"/>
          <w:numId w:val="2"/>
        </w:numPr>
        <w:spacing w:after="80" w:line="300"/>
      </w:pPr>
      <w:r>
        <w:rPr>
          <w:rFonts w:ascii="Arial" w:cs="Arial" w:eastAsia="Arial" w:hAnsi="Arial"/>
          <w:sz w:val="22"/>
          <w:szCs w:val="22"/>
        </w:rPr>
        <w:t xml:space="preserve">Mobilisation readiness — the venture commits to scoping any Pillar-2 engagement within one to two weeks of first inquiry, producing a specialised system design against the reference architecture that the client can sign against. The commitment is not a product list; it is a response time.</w:t>
      </w:r>
    </w:p>
    <w:p>
      <w:pPr>
        <w:pStyle w:val="Heading2"/>
        <w:spacing w:after="140" w:before="280"/>
      </w:pPr>
      <w:r>
        <w:rPr>
          <w:rFonts w:ascii="Arial" w:cs="Arial" w:eastAsia="Arial" w:hAnsi="Arial"/>
          <w:b/>
          <w:bCs/>
          <w:sz w:val="28"/>
          <w:szCs w:val="28"/>
        </w:rPr>
        <w:t xml:space="preserve">5.5 Cross-pillar graduation</w:t>
      </w:r>
    </w:p>
    <w:p>
      <w:pPr>
        <w:spacing w:after="120" w:line="300"/>
        <w:jc w:val="left"/>
      </w:pPr>
      <w:r>
        <w:rPr>
          <w:rFonts w:ascii="Arial" w:cs="Arial" w:eastAsia="Arial" w:hAnsi="Arial"/>
          <w:b w:val="false"/>
          <w:bCs w:val="false"/>
          <w:i w:val="false"/>
          <w:iCs w:val="false"/>
          <w:sz w:val="22"/>
          <w:szCs w:val="22"/>
        </w:rPr>
        <w:t xml:space="preserve">The plan treats Pillar 1 and Pillar 2 as one product line at two infrastructure intensities, and explicitly supports graduation between them. A Pillar-1 instrument that encounters scale limits (high-frequency writes, multi-tenant orchestration, corpus that outgrows the working folder) or governance limits (regulated auditing, cross-venture composition, physical-world actuation) graduates to Pillar 2 by: wrapping its custom connectors in a remote MCP server; moving its multi-agent workflow to server-side; migrating its KB to a server-side corpus with per-tenant access; and adding the Pillar-2 reference-architecture components it now needs. The client relationship does not break across this graduation; the commercial model shifts from Pillar-1 pricing to Pillar-2 pricing.</w:t>
      </w:r>
    </w:p>
    <w:p>
      <w:pPr>
        <w:pStyle w:val="Heading1"/>
        <w:spacing w:after="180" w:before="360"/>
      </w:pPr>
      <w:r>
        <w:rPr>
          <w:rFonts w:ascii="Arial" w:cs="Arial" w:eastAsia="Arial" w:hAnsi="Arial"/>
          <w:b/>
          <w:bCs/>
          <w:sz w:val="32"/>
          <w:szCs w:val="32"/>
        </w:rPr>
        <w:t xml:space="preserve">6. Team</w:t>
      </w:r>
    </w:p>
    <w:p>
      <w:pPr>
        <w:pStyle w:val="Heading2"/>
        <w:spacing w:after="140" w:before="280"/>
      </w:pPr>
      <w:r>
        <w:rPr>
          <w:rFonts w:ascii="Arial" w:cs="Arial" w:eastAsia="Arial" w:hAnsi="Arial"/>
          <w:b/>
          <w:bCs/>
          <w:sz w:val="28"/>
          <w:szCs w:val="28"/>
        </w:rPr>
        <w:t xml:space="preserve">6.1 Starting configuration</w:t>
      </w:r>
    </w:p>
    <w:p>
      <w:pPr>
        <w:spacing w:after="120" w:line="300"/>
        <w:jc w:val="left"/>
      </w:pPr>
      <w:r>
        <w:rPr>
          <w:rFonts w:ascii="Arial" w:cs="Arial" w:eastAsia="Arial" w:hAnsi="Arial"/>
          <w:b w:val="false"/>
          <w:bCs w:val="false"/>
          <w:i w:val="false"/>
          <w:iCs w:val="false"/>
          <w:sz w:val="22"/>
          <w:szCs w:val="22"/>
        </w:rPr>
        <w:t xml:space="preserve">The venture starts with a two-person standing AI team, plus a per-engagement software-architecture capacity drawn from BigSmall:</w:t>
      </w:r>
    </w:p>
    <w:p>
      <w:pPr>
        <w:pStyle w:val="ListParagraph"/>
        <w:numPr>
          <w:ilvl w:val="0"/>
          <w:numId w:val="2"/>
        </w:numPr>
        <w:spacing w:after="80" w:line="300"/>
      </w:pPr>
      <w:r>
        <w:rPr>
          <w:rFonts w:ascii="Arial" w:cs="Arial" w:eastAsia="Arial" w:hAnsi="Arial"/>
          <w:b/>
          <w:bCs/>
          <w:sz w:val="22"/>
          <w:szCs w:val="22"/>
        </w:rPr>
        <w:t xml:space="preserve">AI Lead (Sơn) — </w:t>
      </w:r>
      <w:r>
        <w:rPr>
          <w:rFonts w:ascii="Arial" w:cs="Arial" w:eastAsia="Arial" w:hAnsi="Arial"/>
          <w:sz w:val="22"/>
          <w:szCs w:val="22"/>
        </w:rPr>
        <w:t xml:space="preserve">founding AI leadership of the venture. Scope is closer to Chief AI Officer / Head of AI at a research-grounded agentic-AI startup than to a software-company CTO: overall AI strategy, instrument and system design, research-grade engineering, team training, client-facing senior design work, and cross-venture coordination with the cybersecurity and IoT companies. Sơn's stated allocation to this venture is one-third of his working time, with the other two-thirds split between BigSmall AI (Vietnam-based AI research lab, where Mindgap and ATP originate) and Panalogy Lab (Queensland, Australia R&amp;D studio building scalable AI tools for decision intelligence — research themes span Social AI, behavioural modelling, synthetic agents, adaptive human-centred intelligence, and agentic AI×IoT cyber-physical control and optimization). The AI venture is the commercialisation channel into Vietnamese businesses and government for what those labs produce; BigSmall is a direct feed, and Panalogy Lab is a partner (BigSmall appears on Panalogy Lab's partner list), with agentic AI behaviour research and agentic cyber-physical systems flowing from Panalogy Lab into the venture's Pillar-2 reference-architecture work over time. Panalogy Lab's first-of-its-kind agentic PLC system (Agent Rung, agentrung.ai — see section 2.2) is the concrete embodiment of this cyber-physical capability and the closest existing analogue of the kind of AI × IoT cross-venture work the Innovation Centre is positioned to deliver. In practice, Sơn's one-third stated load delivers output roughly equivalent to a typical full-time AI-lead hire — high skill density, research-grade productivity, and multi-lab leverage compress the hours required. The venture therefore pays for full-FTE-equivalent output at a fractional rate against Sơn's international market rate (see section 7.2).</w:t>
      </w:r>
    </w:p>
    <w:p>
      <w:pPr>
        <w:pStyle w:val="ListParagraph"/>
        <w:numPr>
          <w:ilvl w:val="0"/>
          <w:numId w:val="2"/>
        </w:numPr>
        <w:spacing w:after="80" w:line="300"/>
      </w:pPr>
      <w:r>
        <w:rPr>
          <w:rFonts w:ascii="Arial" w:cs="Arial" w:eastAsia="Arial" w:hAnsi="Arial"/>
          <w:b/>
          <w:bCs/>
          <w:sz w:val="22"/>
          <w:szCs w:val="22"/>
        </w:rPr>
        <w:t xml:space="preserve">Agentic AI Dev — </w:t>
      </w:r>
      <w:r>
        <w:rPr>
          <w:rFonts w:ascii="Arial" w:cs="Arial" w:eastAsia="Arial" w:hAnsi="Arial"/>
          <w:sz w:val="22"/>
          <w:szCs w:val="22"/>
        </w:rPr>
        <w:t xml:space="preserve">daily implementation across Pillar-1 instrument deployment, connector-library development, Pillar-2 engagement execution, and direct client-facing work. Full-time load. BigSmall-seconded. This role also carries the Product Owner function until the venture's workload requires a dedicated PO — see section 6.3.</w:t>
      </w:r>
    </w:p>
    <w:p>
      <w:pPr>
        <w:pStyle w:val="ListParagraph"/>
        <w:numPr>
          <w:ilvl w:val="0"/>
          <w:numId w:val="2"/>
        </w:numPr>
        <w:spacing w:after="80" w:line="300"/>
      </w:pPr>
      <w:r>
        <w:rPr>
          <w:rFonts w:ascii="Arial" w:cs="Arial" w:eastAsia="Arial" w:hAnsi="Arial"/>
          <w:b/>
          <w:bCs/>
          <w:sz w:val="22"/>
          <w:szCs w:val="22"/>
        </w:rPr>
        <w:t xml:space="preserve">Bằng (Software Architect, BigSmall — per-engagement) — </w:t>
      </w:r>
      <w:r>
        <w:rPr>
          <w:rFonts w:ascii="Arial" w:cs="Arial" w:eastAsia="Arial" w:hAnsi="Arial"/>
          <w:sz w:val="22"/>
          <w:szCs w:val="22"/>
        </w:rPr>
        <w:t xml:space="preserve">backend architecture for Pillar-2 engagements. Not a standing venture headcount — drawn in per engagement from BigSmall at the QS-quote reference rate (30M VND/mo × engagement length). For the reference QS engagement, this is six months of architect time priced into the project cost (180M VND over six months). For future Pillar-2 engagements, the architect line is sized to the specific engagement's backend scope.</w:t>
      </w:r>
    </w:p>
    <w:p>
      <w:pPr>
        <w:pStyle w:val="Heading2"/>
        <w:spacing w:after="140" w:before="280"/>
      </w:pPr>
      <w:r>
        <w:rPr>
          <w:rFonts w:ascii="Arial" w:cs="Arial" w:eastAsia="Arial" w:hAnsi="Arial"/>
          <w:b/>
          <w:bCs/>
          <w:sz w:val="28"/>
          <w:szCs w:val="28"/>
        </w:rPr>
        <w:t xml:space="preserve">6.2 Attention and output — honest-stated</w:t>
      </w:r>
    </w:p>
    <w:p>
      <w:pPr>
        <w:spacing w:after="120" w:line="300"/>
        <w:jc w:val="left"/>
      </w:pPr>
      <w:r>
        <w:rPr>
          <w:rFonts w:ascii="Arial" w:cs="Arial" w:eastAsia="Arial" w:hAnsi="Arial"/>
          <w:b w:val="false"/>
          <w:bCs w:val="false"/>
          <w:i w:val="false"/>
          <w:iCs w:val="false"/>
          <w:sz w:val="22"/>
          <w:szCs w:val="22"/>
        </w:rPr>
        <w:t xml:space="preserve">The one-third stated load is a schedule fact, not a capacity fact. Because the work is research-grade and the skill density is high, Sơn's one-third time on the AI venture delivers output roughly equivalent to what a typical full-time AI-lead hire would produce. The venture should therefore plan as though it has a full-time AI lead in output terms — but it should plan as though it has a one-third AI lead in scheduling terms. Real-time availability, same-day turnaround, and extended on-site presence remain bounded by the stated load; design velocity, strategic direction, and quality of output are not.</w:t>
      </w:r>
    </w:p>
    <w:p>
      <w:pPr>
        <w:spacing w:after="120" w:line="300"/>
        <w:jc w:val="left"/>
      </w:pPr>
      <w:r>
        <w:rPr>
          <w:rFonts w:ascii="Arial" w:cs="Arial" w:eastAsia="Arial" w:hAnsi="Arial"/>
          <w:b w:val="false"/>
          <w:bCs w:val="false"/>
          <w:i w:val="false"/>
          <w:iCs w:val="false"/>
          <w:sz w:val="22"/>
          <w:szCs w:val="22"/>
        </w:rPr>
        <w:t xml:space="preserve">This distinction matters to the cost model. The venture receives CAIO-class output at a rate that is a fraction of Sơn's international market rate (see section 7.2). Clients receive a senior AI-lead presence on their engagements; stakeholders should plan client communication around the load split (the agentic dev is the client's day-to-day; Sơn is the strategic and design escalation point) so that the attention boundary is visible and predictable.</w:t>
      </w:r>
    </w:p>
    <w:p>
      <w:pPr>
        <w:pStyle w:val="Heading2"/>
        <w:spacing w:after="140" w:before="280"/>
      </w:pPr>
      <w:r>
        <w:rPr>
          <w:rFonts w:ascii="Arial" w:cs="Arial" w:eastAsia="Arial" w:hAnsi="Arial"/>
          <w:b/>
          <w:bCs/>
          <w:sz w:val="28"/>
          <w:szCs w:val="28"/>
        </w:rPr>
        <w:t xml:space="preserve">6.3 Dedicated Product Owner — hiring trigger</w:t>
      </w:r>
    </w:p>
    <w:p>
      <w:pPr>
        <w:spacing w:after="120" w:line="300"/>
        <w:jc w:val="left"/>
      </w:pPr>
      <w:r>
        <w:rPr>
          <w:rFonts w:ascii="Arial" w:cs="Arial" w:eastAsia="Arial" w:hAnsi="Arial"/>
          <w:b w:val="false"/>
          <w:bCs w:val="false"/>
          <w:i w:val="false"/>
          <w:iCs w:val="false"/>
          <w:sz w:val="22"/>
          <w:szCs w:val="22"/>
        </w:rPr>
        <w:t xml:space="preserve">The dev-as-PO arrangement is sustainable for six to nine months of early operation. It breaks when the venture's bottleneck migrates from "can we build it" to "are we building the right thing." The plan sets an explicit hiring trigger rather than a calendar target: a dedicated PO is hired when any one of the following holds:</w:t>
      </w:r>
    </w:p>
    <w:p>
      <w:pPr>
        <w:pStyle w:val="ListParagraph"/>
        <w:numPr>
          <w:ilvl w:val="0"/>
          <w:numId w:val="2"/>
        </w:numPr>
        <w:spacing w:after="80" w:line="300"/>
      </w:pPr>
      <w:r>
        <w:rPr>
          <w:rFonts w:ascii="Arial" w:cs="Arial" w:eastAsia="Arial" w:hAnsi="Arial"/>
          <w:sz w:val="22"/>
          <w:szCs w:val="22"/>
        </w:rPr>
        <w:t xml:space="preserve">Three concurrent paying engagements are active in the same month.</w:t>
      </w:r>
    </w:p>
    <w:p>
      <w:pPr>
        <w:pStyle w:val="ListParagraph"/>
        <w:numPr>
          <w:ilvl w:val="0"/>
          <w:numId w:val="2"/>
        </w:numPr>
        <w:spacing w:after="80" w:line="300"/>
      </w:pPr>
      <w:r>
        <w:rPr>
          <w:rFonts w:ascii="Arial" w:cs="Arial" w:eastAsia="Arial" w:hAnsi="Arial"/>
          <w:sz w:val="22"/>
          <w:szCs w:val="22"/>
        </w:rPr>
        <w:t xml:space="preserve">The dev is spending more than thirty per cent of time on non-engineering work (scoping, client comms, requirements elicitation, stakeholder management).</w:t>
      </w:r>
    </w:p>
    <w:p>
      <w:pPr>
        <w:pStyle w:val="ListParagraph"/>
        <w:numPr>
          <w:ilvl w:val="0"/>
          <w:numId w:val="2"/>
        </w:numPr>
        <w:spacing w:after="80" w:line="300"/>
      </w:pPr>
      <w:r>
        <w:rPr>
          <w:rFonts w:ascii="Arial" w:cs="Arial" w:eastAsia="Arial" w:hAnsi="Arial"/>
          <w:sz w:val="22"/>
          <w:szCs w:val="22"/>
        </w:rPr>
        <w:t xml:space="preserve">A Pillar-2 engagement is signed — Pillar-2 scoping and stakeholder management alone consume more PO bandwidth than the dev can carry while shipping.</w:t>
      </w:r>
    </w:p>
    <w:p>
      <w:pPr>
        <w:pStyle w:val="Heading2"/>
        <w:spacing w:after="140" w:before="280"/>
      </w:pPr>
      <w:r>
        <w:rPr>
          <w:rFonts w:ascii="Arial" w:cs="Arial" w:eastAsia="Arial" w:hAnsi="Arial"/>
          <w:b/>
          <w:bCs/>
          <w:sz w:val="28"/>
          <w:szCs w:val="28"/>
        </w:rPr>
        <w:t xml:space="preserve">6.4 Expansion roles — order of hire</w:t>
      </w:r>
    </w:p>
    <w:p>
      <w:pPr>
        <w:spacing w:after="120" w:line="300"/>
        <w:jc w:val="left"/>
      </w:pPr>
      <w:r>
        <w:rPr>
          <w:rFonts w:ascii="Arial" w:cs="Arial" w:eastAsia="Arial" w:hAnsi="Arial"/>
          <w:b w:val="false"/>
          <w:bCs w:val="false"/>
          <w:i w:val="false"/>
          <w:iCs w:val="false"/>
          <w:sz w:val="22"/>
          <w:szCs w:val="22"/>
        </w:rPr>
        <w:t xml:space="preserve">The plan names the expansion roles in probable order of need. Each is triggered by workload, not by the calendar:</w:t>
      </w:r>
    </w:p>
    <w:p>
      <w:pPr>
        <w:pStyle w:val="ListParagraph"/>
        <w:numPr>
          <w:ilvl w:val="0"/>
          <w:numId w:val="3"/>
        </w:numPr>
        <w:spacing w:after="80" w:line="300"/>
      </w:pPr>
      <w:r>
        <w:rPr>
          <w:rFonts w:ascii="Arial" w:cs="Arial" w:eastAsia="Arial" w:hAnsi="Arial"/>
          <w:sz w:val="22"/>
          <w:szCs w:val="22"/>
        </w:rPr>
        <w:t xml:space="preserve">Dedicated Product Owner (per trigger in 6.3) — carries requirements, client engagement, release cadence, and PO-level instrument-roadmap tradeoffs.</w:t>
      </w:r>
    </w:p>
    <w:p>
      <w:pPr>
        <w:pStyle w:val="ListParagraph"/>
        <w:numPr>
          <w:ilvl w:val="0"/>
          <w:numId w:val="3"/>
        </w:numPr>
        <w:spacing w:after="80" w:line="300"/>
      </w:pPr>
      <w:r>
        <w:rPr>
          <w:rFonts w:ascii="Arial" w:cs="Arial" w:eastAsia="Arial" w:hAnsi="Arial"/>
          <w:sz w:val="22"/>
          <w:szCs w:val="22"/>
        </w:rPr>
        <w:t xml:space="preserve">Second Agentic AI Dev — triggered when instrument generation velocity becomes the venture's bottleneck (two or more instruments in active generation, or one generation plus two active deployments).</w:t>
      </w:r>
    </w:p>
    <w:p>
      <w:pPr>
        <w:pStyle w:val="ListParagraph"/>
        <w:numPr>
          <w:ilvl w:val="0"/>
          <w:numId w:val="3"/>
        </w:numPr>
        <w:spacing w:after="80" w:line="300"/>
      </w:pPr>
      <w:r>
        <w:rPr>
          <w:rFonts w:ascii="Arial" w:cs="Arial" w:eastAsia="Arial" w:hAnsi="Arial"/>
          <w:sz w:val="22"/>
          <w:szCs w:val="22"/>
        </w:rPr>
        <w:t xml:space="preserve">KB Curation Lead — triggered when two or more instruments require ongoing Vietnamese-market KB curation on cadence. Research-background hire; liaises with legal, regulatory, and domain experts as needed.</w:t>
      </w:r>
    </w:p>
    <w:p>
      <w:pPr>
        <w:pStyle w:val="ListParagraph"/>
        <w:numPr>
          <w:ilvl w:val="0"/>
          <w:numId w:val="3"/>
        </w:numPr>
        <w:spacing w:after="80" w:line="300"/>
      </w:pPr>
      <w:r>
        <w:rPr>
          <w:rFonts w:ascii="Arial" w:cs="Arial" w:eastAsia="Arial" w:hAnsi="Arial"/>
          <w:sz w:val="22"/>
          <w:szCs w:val="22"/>
        </w:rPr>
        <w:t xml:space="preserve">Deployment Engineer — triggered when deployment velocity becomes the bottleneck (more than one concurrent deployment in any given month).</w:t>
      </w:r>
    </w:p>
    <w:p>
      <w:pPr>
        <w:pStyle w:val="ListParagraph"/>
        <w:numPr>
          <w:ilvl w:val="0"/>
          <w:numId w:val="3"/>
        </w:numPr>
        <w:spacing w:after="80" w:line="300"/>
      </w:pPr>
      <w:r>
        <w:rPr>
          <w:rFonts w:ascii="Arial" w:cs="Arial" w:eastAsia="Arial" w:hAnsi="Arial"/>
          <w:sz w:val="22"/>
          <w:szCs w:val="22"/>
        </w:rPr>
        <w:t xml:space="preserve">Backend Engineer for Pillar 2 — triggered on the second Pillar-2 engagement. The reference architecture and component library are designed to be specialised by a backend engineer distinct from the agentic dev.</w:t>
      </w:r>
    </w:p>
    <w:p>
      <w:pPr>
        <w:pStyle w:val="ListParagraph"/>
        <w:numPr>
          <w:ilvl w:val="0"/>
          <w:numId w:val="3"/>
        </w:numPr>
        <w:spacing w:after="80" w:line="300"/>
      </w:pPr>
      <w:r>
        <w:rPr>
          <w:rFonts w:ascii="Arial" w:cs="Arial" w:eastAsia="Arial" w:hAnsi="Arial"/>
          <w:sz w:val="22"/>
          <w:szCs w:val="22"/>
        </w:rPr>
        <w:t xml:space="preserve">Security / Privacy Engineer — formally a shared hire with the cybersecurity company or a deepening integration of their existing staff into the AI venture's delivery cadence. Triggered when a regulated-industry engagement (bank, insurer, public sector) is signed.</w:t>
      </w:r>
    </w:p>
    <w:p>
      <w:pPr>
        <w:pStyle w:val="Heading2"/>
        <w:spacing w:after="140" w:before="280"/>
      </w:pPr>
      <w:r>
        <w:rPr>
          <w:rFonts w:ascii="Arial" w:cs="Arial" w:eastAsia="Arial" w:hAnsi="Arial"/>
          <w:b/>
          <w:bCs/>
          <w:sz w:val="28"/>
          <w:szCs w:val="28"/>
        </w:rPr>
        <w:t xml:space="preserve">6.5 Training cadence</w:t>
      </w:r>
    </w:p>
    <w:p>
      <w:pPr>
        <w:spacing w:after="120" w:line="300"/>
        <w:jc w:val="left"/>
      </w:pPr>
      <w:r>
        <w:rPr>
          <w:rFonts w:ascii="Arial" w:cs="Arial" w:eastAsia="Arial" w:hAnsi="Arial"/>
          <w:b w:val="false"/>
          <w:bCs w:val="false"/>
          <w:i w:val="false"/>
          <w:iCs w:val="false"/>
          <w:sz w:val="22"/>
          <w:szCs w:val="22"/>
        </w:rPr>
        <w:t xml:space="preserve">The AI Lead carries a structural training responsibility: every new hire and every cross-venture collaborator spends structured time on the twelve-property discipline, the rendering contract, the validator, and the connector-library patterns. Training is not an onboarding checkbox; it is a weekly cadence for the first three months of any new hire's tenure. This consumes Sơn's attention budget and is accounted for in the cost model.</w:t>
      </w:r>
    </w:p>
    <w:p>
      <w:pPr>
        <w:pStyle w:val="Heading1"/>
        <w:spacing w:after="180" w:before="360"/>
      </w:pPr>
      <w:r>
        <w:rPr>
          <w:rFonts w:ascii="Arial" w:cs="Arial" w:eastAsia="Arial" w:hAnsi="Arial"/>
          <w:b/>
          <w:bCs/>
          <w:sz w:val="32"/>
          <w:szCs w:val="32"/>
        </w:rPr>
        <w:t xml:space="preserve">7. Costs</w:t>
      </w:r>
    </w:p>
    <w:p>
      <w:pPr>
        <w:spacing w:after="120" w:line="300"/>
        <w:jc w:val="left"/>
      </w:pPr>
      <w:r>
        <w:rPr>
          <w:rFonts w:ascii="Arial" w:cs="Arial" w:eastAsia="Arial" w:hAnsi="Arial"/>
          <w:b w:val="false"/>
          <w:bCs w:val="false"/>
          <w:i w:val="false"/>
          <w:iCs w:val="false"/>
          <w:sz w:val="22"/>
          <w:szCs w:val="22"/>
        </w:rPr>
        <w:t xml:space="preserve">This section presents the cost-and-usage physics of the venture's AI operation — what the work costs to produce. It does not present pricing. Pricing, packaging, margins, discounts, per-seat or per-report commercials are the business plan's scope.</w:t>
      </w:r>
    </w:p>
    <w:p>
      <w:pPr>
        <w:pStyle w:val="Heading2"/>
        <w:spacing w:after="140" w:before="280"/>
      </w:pPr>
      <w:r>
        <w:rPr>
          <w:rFonts w:ascii="Arial" w:cs="Arial" w:eastAsia="Arial" w:hAnsi="Arial"/>
          <w:b/>
          <w:bCs/>
          <w:sz w:val="28"/>
          <w:szCs w:val="28"/>
        </w:rPr>
        <w:t xml:space="preserve">7.1 Baseline — Claude Max as the cost reference</w:t>
      </w:r>
    </w:p>
    <w:p>
      <w:pPr>
        <w:spacing w:after="120" w:line="300"/>
        <w:jc w:val="left"/>
      </w:pPr>
      <w:r>
        <w:rPr>
          <w:rFonts w:ascii="Arial" w:cs="Arial" w:eastAsia="Arial" w:hAnsi="Arial"/>
          <w:b w:val="false"/>
          <w:bCs w:val="false"/>
          <w:i w:val="false"/>
          <w:iCs w:val="false"/>
          <w:sz w:val="22"/>
          <w:szCs w:val="22"/>
        </w:rPr>
        <w:t xml:space="preserve">The venture's unit-economics reasoning takes Claude Max (currently $100 per month per user) as the cost baseline for Claude-side compute. Vietnamese business and government clients are assumed to carry their own Claude Max or higher-tier subscription for their operators; the venture does not pay the client's subscription. Any deviation from this assumption is flagged explicitly in the engagement scope.</w:t>
      </w:r>
    </w:p>
    <w:p>
      <w:pPr>
        <w:spacing w:after="120" w:line="300"/>
        <w:jc w:val="left"/>
      </w:pPr>
      <w:r>
        <w:rPr>
          <w:rFonts w:ascii="Arial" w:cs="Arial" w:eastAsia="Arial" w:hAnsi="Arial"/>
          <w:b w:val="false"/>
          <w:bCs w:val="false"/>
          <w:i w:val="false"/>
          <w:iCs w:val="false"/>
          <w:sz w:val="22"/>
          <w:szCs w:val="22"/>
        </w:rPr>
        <w:t xml:space="preserve">Under this baseline, a Pillar-1 instrument that runs entirely on the client's Claude side has essentially zero marginal compute cost to the client (they already pay Max) and zero marginal compute cost to the venture (the instrument executes in the client's subscription). The venture's cost base on Pillar 1 is team, KB curation, deployment support, maintenance, and any custom connector engineering — not tokens.</w:t>
      </w:r>
    </w:p>
    <w:p>
      <w:pPr>
        <w:spacing w:after="120" w:line="300"/>
        <w:jc w:val="left"/>
      </w:pPr>
      <w:r>
        <w:rPr>
          <w:rFonts w:ascii="Arial" w:cs="Arial" w:eastAsia="Arial" w:hAnsi="Arial"/>
          <w:b w:val="false"/>
          <w:bCs w:val="false"/>
          <w:i w:val="false"/>
          <w:iCs w:val="false"/>
          <w:sz w:val="22"/>
          <w:szCs w:val="22"/>
        </w:rPr>
        <w:t xml:space="preserve">A Pillar-2 agentic system is different. The client uses their Claude Max for the skill interface, but the backend is infrastructure the venture operates, and the backend consumes Anthropic API tokens per server-side agent call, plus infrastructure costs. ATP's empirical figure is approximately $10 per produced report, which at a typical three-to-four iteration count per usable output yields roughly $30 of compute per delivered user deliverable. This is the reference for the Pillar-2 per-run profile.</w:t>
      </w:r>
    </w:p>
    <w:p>
      <w:pPr>
        <w:pStyle w:val="Heading2"/>
        <w:spacing w:after="140" w:before="280"/>
      </w:pPr>
      <w:r>
        <w:rPr>
          <w:rFonts w:ascii="Arial" w:cs="Arial" w:eastAsia="Arial" w:hAnsi="Arial"/>
          <w:b/>
          <w:bCs/>
          <w:sz w:val="28"/>
          <w:szCs w:val="28"/>
        </w:rPr>
        <w:t xml:space="preserve">7.2 Team salaries</w:t>
      </w:r>
    </w:p>
    <w:p>
      <w:pPr>
        <w:spacing w:after="120" w:line="300"/>
        <w:jc w:val="left"/>
      </w:pPr>
      <w:r>
        <w:rPr>
          <w:rFonts w:ascii="Arial" w:cs="Arial" w:eastAsia="Arial" w:hAnsi="Arial"/>
          <w:b w:val="false"/>
          <w:bCs w:val="false"/>
          <w:i w:val="false"/>
          <w:iCs w:val="false"/>
          <w:sz w:val="22"/>
          <w:szCs w:val="22"/>
        </w:rPr>
        <w:t xml:space="preserve">The two headline figures are partnership-favoured rates that trace directly to Bằng's QS project quote (section 2.6). They are not independent market benchmarks, and the BigSmall partnership (section 2.7) is what makes them feasible. For context, the Agentic AI Dev rate of 50M VND/mo sits at the Vietnamese senior full-stack / early-career AI engineering minimum per 2025-26 local benchmarks (ITViec Vietnam IT Salary &amp; Recruitment Market Report 2025-2026). The AI Lead role — Chief AI Officer / Head of AI class with international research affiliations (BigSmall in Vietnam, Panalogy Lab in Australia) — would price internationally at USD $200K-$300K/year base for a Series B-D equivalent; Sơn's 120M VND/mo at 1/3 stated load (full-FTE equivalent ≈ 360M VND/mo ≈ USD $170K/year) is below that international floor, consistent with a partnership-favoured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Role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Monthly salary (VND)</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Market benchmark anchor</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Notes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AI Lead (Sơn) — Chief AI Officer class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120,000,000 (at 1/3 stated load, delivering ≈ full-FTE output)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Rate traces to Bằng's QS project quote (120M × 6 months = 720M). Comparison context: international CAIO / Head-of-AI base-rate floor is ~USD $200K/year; Sơn's full-load equivalent (360M VND/mo ≈ USD $170K/year) is below that floor — consistent with a BigSmall-partnership rate.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Role is not a conventional software-company CTO. Scope is founding AI leadership at an agentic-AI venture. The venture pays for the output, not the scheduled hours.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Agentic AI Dev (full-stack)</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50,000,000</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At the minimum base rate for senior full-stack / early-career AI engineers in HCMC — below the ITViec 2025-26 niche-role floor of ~55M VND/mo. BigSmall-seconded, which is what makes the rate feasible.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Full-time load; also carries PO role until a dedicated PO is hired. Handles full-stack agentic development across both pillars.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Bằng (Software Architect, BigSmall)</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Not a venture salary — see section 7.5 (Pillar-2 engagement cost)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30,000,000/mo per engagement (QS quote reference: 30M × 6 months = 180M). Available from BigSmall on a per-engagement basis.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Drawn in for Pillar-2 backend-architecture work. Not a standing venture cost; priced into each Pillar-2 engagement that requires architecture.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Future hires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Market rate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Per role, benchmarked against current market reports at time of hire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Determined by agreement between the venture and the member at time of hire</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i/>
          <w:iCs/>
          <w:sz w:val="22"/>
          <w:szCs w:val="22"/>
        </w:rPr>
        <w:t xml:space="preserve">Both headline figures trace to the QS quote and reflect BigSmall-partnership rates (section 2.7), not arms-length market rates. If the BigSmall partnership is not in place — i.e., the equity arrangement does not materialise — these rates would re-price against standing markets (Vietnamese senior full-stack ~55M+ VND/mo for the dev; international CAIO $200-300K/year base for Sơn), and the plan's cost physics would shift accordingly. The business plan is the place where this dependency is translated into commercial terms.</w:t>
      </w:r>
    </w:p>
    <w:p>
      <w:pPr>
        <w:spacing w:after="120" w:line="300"/>
        <w:jc w:val="left"/>
      </w:pPr>
      <w:r>
        <w:rPr>
          <w:rFonts w:ascii="Arial" w:cs="Arial" w:eastAsia="Arial" w:hAnsi="Arial"/>
          <w:i/>
          <w:iCs/>
          <w:sz w:val="22"/>
          <w:szCs w:val="22"/>
        </w:rPr>
        <w:t xml:space="preserve">Future hires per section 6.4 (PO, second dev, KB curation lead, deployment engineer, backend engineer, security/privacy engineer) are scheduled by the triggers in that section, not on a calendar timeline. A future replacement or second AI-lead hire would be priced against the full-load international CAIO rate, not against Sơn's current 1/3-load figure.</w:t>
      </w:r>
    </w:p>
    <w:p>
      <w:pPr>
        <w:pStyle w:val="Heading2"/>
        <w:spacing w:after="140" w:before="280"/>
      </w:pPr>
      <w:r>
        <w:rPr>
          <w:rFonts w:ascii="Arial" w:cs="Arial" w:eastAsia="Arial" w:hAnsi="Arial"/>
          <w:b/>
          <w:bCs/>
          <w:sz w:val="28"/>
          <w:szCs w:val="28"/>
        </w:rPr>
        <w:t xml:space="preserve">7.3 Per-person supporting infrastructure</w:t>
      </w:r>
    </w:p>
    <w:p>
      <w:pPr>
        <w:spacing w:after="120" w:line="300"/>
        <w:jc w:val="left"/>
      </w:pPr>
      <w:r>
        <w:rPr>
          <w:rFonts w:ascii="Arial" w:cs="Arial" w:eastAsia="Arial" w:hAnsi="Arial"/>
          <w:b w:val="false"/>
          <w:bCs w:val="false"/>
          <w:i w:val="false"/>
          <w:iCs w:val="false"/>
          <w:sz w:val="22"/>
          <w:szCs w:val="22"/>
        </w:rPr>
        <w:t xml:space="preserve">Fixed figures are those specified by the user; figures marked "to be agreed" are budget placeholders to be set between the venture and the member at hire, following the same policy as future-hire salaries.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1800"/>
        <w:gridCol w:w="2880"/>
      </w:tblGrid>
      <w:tr>
        <w:trPr>
          <w:tblHeader/>
        </w:trPr>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Item</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Cost (VND)</w:t>
            </w:r>
          </w:p>
        </w:tc>
        <w:tc>
          <w:tcPr>
            <w:tcW w:type="dxa" w:w="18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Cadence</w:t>
            </w:r>
          </w:p>
        </w:tc>
        <w:tc>
          <w:tcPr>
            <w:tcW w:type="dxa" w:w="28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Notes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Laptop</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40,000,000</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One-off; 3-4y refresh</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Spec appropriate for agentic development workloads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Supplementary device set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To be agreed</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One-off</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Monitor, peripherals, mic/camera for client video calls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Claude subscription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3,000,000</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Monthly</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Max tier baseline; upgrade case-by-case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Developer tools + cloud storage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To be agreed</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Monthly</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Cursor/Copilot-class coding assistants, GitHub org, task tool, design tool; encrypted personal backup for cross-device work</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General admin costs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To be agreed</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Monthly / annual</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Mobile and connectivity stipend; learning &amp; development (courses, books, conferences — not optional for an AI venture); domestic business travel for HAN/HCM/DAD client visits; supplementary health insurance above statutory, at VN tech-retention market rate</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i/>
          <w:iCs/>
          <w:sz w:val="22"/>
          <w:szCs w:val="22"/>
        </w:rPr>
        <w:t xml:space="preserve">The "to be agreed" lines are intentionally left as placeholders. Specific figures are for the business plan to set based on venture budget and for negotiation with each member at hire; the AI plan's role here is to ensure each line is recognised and not forgotten in the commercial model.</w:t>
      </w:r>
    </w:p>
    <w:p>
      <w:pPr>
        <w:pStyle w:val="Heading2"/>
        <w:spacing w:after="140" w:before="280"/>
      </w:pPr>
      <w:r>
        <w:rPr>
          <w:rFonts w:ascii="Arial" w:cs="Arial" w:eastAsia="Arial" w:hAnsi="Arial"/>
          <w:b/>
          <w:bCs/>
          <w:sz w:val="28"/>
          <w:szCs w:val="28"/>
        </w:rPr>
        <w:t xml:space="preserve">7.4 Working space</w:t>
      </w:r>
    </w:p>
    <w:p>
      <w:pPr>
        <w:spacing w:after="120" w:line="300"/>
        <w:jc w:val="left"/>
      </w:pPr>
      <w:r>
        <w:rPr>
          <w:rFonts w:ascii="Arial" w:cs="Arial" w:eastAsia="Arial" w:hAnsi="Arial"/>
          <w:b w:val="false"/>
          <w:bCs w:val="false"/>
          <w:i w:val="false"/>
          <w:iCs w:val="false"/>
          <w:sz w:val="22"/>
          <w:szCs w:val="22"/>
        </w:rPr>
        <w:t xml:space="preserve">Flexible, optimised for productivity, operational efficiency, and client response latency. The specific arrangement (dedicated office, co-working membership, hybrid with BigSmall's space) is an operational decision taken against actual team location and client density. The plan commits to keeping the arrangement optimised against the stated criteria rather than fixing a figure. Stakeholders should budget a contingency line for working-space cost at market rate for whichever arrangement the team settles into.</w:t>
      </w:r>
    </w:p>
    <w:p>
      <w:pPr>
        <w:pStyle w:val="Heading2"/>
        <w:spacing w:after="140" w:before="280"/>
      </w:pPr>
      <w:r>
        <w:rPr>
          <w:rFonts w:ascii="Arial" w:cs="Arial" w:eastAsia="Arial" w:hAnsi="Arial"/>
          <w:b/>
          <w:bCs/>
          <w:sz w:val="28"/>
          <w:szCs w:val="28"/>
        </w:rPr>
        <w:t xml:space="preserve">7.5 Per-engagement variable costs</w:t>
      </w:r>
    </w:p>
    <w:p>
      <w:pPr>
        <w:pStyle w:val="Heading3"/>
        <w:spacing w:after="120" w:before="220"/>
      </w:pPr>
      <w:r>
        <w:rPr>
          <w:rFonts w:ascii="Arial" w:cs="Arial" w:eastAsia="Arial" w:hAnsi="Arial"/>
          <w:b/>
          <w:bCs/>
          <w:sz w:val="24"/>
          <w:szCs w:val="24"/>
        </w:rPr>
        <w:t xml:space="preserve">Pillar-1 instrument deployment</w:t>
      </w:r>
    </w:p>
    <w:p>
      <w:pPr>
        <w:spacing w:after="120" w:line="300"/>
        <w:jc w:val="left"/>
      </w:pPr>
      <w:r>
        <w:rPr>
          <w:rFonts w:ascii="Arial" w:cs="Arial" w:eastAsia="Arial" w:hAnsi="Arial"/>
          <w:b w:val="false"/>
          <w:bCs w:val="false"/>
          <w:i w:val="false"/>
          <w:iCs w:val="false"/>
          <w:sz w:val="22"/>
          <w:szCs w:val="22"/>
        </w:rPr>
        <w:t xml:space="preserve">Per-engagement cost lines for a typical Pillar-1 deployment:</w:t>
      </w:r>
    </w:p>
    <w:p>
      <w:pPr>
        <w:pStyle w:val="ListParagraph"/>
        <w:numPr>
          <w:ilvl w:val="0"/>
          <w:numId w:val="2"/>
        </w:numPr>
        <w:spacing w:after="80" w:line="300"/>
      </w:pPr>
      <w:r>
        <w:rPr>
          <w:rFonts w:ascii="Arial" w:cs="Arial" w:eastAsia="Arial" w:hAnsi="Arial"/>
          <w:sz w:val="22"/>
          <w:szCs w:val="22"/>
        </w:rPr>
        <w:t xml:space="preserve">Scoping and discovery — team time, typically five to ten working days depending on complexity and client readiness.</w:t>
      </w:r>
    </w:p>
    <w:p>
      <w:pPr>
        <w:pStyle w:val="ListParagraph"/>
        <w:numPr>
          <w:ilvl w:val="0"/>
          <w:numId w:val="2"/>
        </w:numPr>
        <w:spacing w:after="80" w:line="300"/>
      </w:pPr>
      <w:r>
        <w:rPr>
          <w:rFonts w:ascii="Arial" w:cs="Arial" w:eastAsia="Arial" w:hAnsi="Arial"/>
          <w:sz w:val="22"/>
          <w:szCs w:val="22"/>
        </w:rPr>
        <w:t xml:space="preserve">Localisation and instrument customisation — team time, variable by instrument complexity and client-specific adjustments.</w:t>
      </w:r>
    </w:p>
    <w:p>
      <w:pPr>
        <w:pStyle w:val="ListParagraph"/>
        <w:numPr>
          <w:ilvl w:val="0"/>
          <w:numId w:val="2"/>
        </w:numPr>
        <w:spacing w:after="80" w:line="300"/>
      </w:pPr>
      <w:r>
        <w:rPr>
          <w:rFonts w:ascii="Arial" w:cs="Arial" w:eastAsia="Arial" w:hAnsi="Arial"/>
          <w:sz w:val="22"/>
          <w:szCs w:val="22"/>
        </w:rPr>
        <w:t xml:space="preserve">Custom connector engineering — one-off if the connector is new to the library; near-zero if the connector already exists. Budget at senior-dev-time rate for new connectors.</w:t>
      </w:r>
    </w:p>
    <w:p>
      <w:pPr>
        <w:pStyle w:val="ListParagraph"/>
        <w:numPr>
          <w:ilvl w:val="0"/>
          <w:numId w:val="2"/>
        </w:numPr>
        <w:spacing w:after="80" w:line="300"/>
      </w:pPr>
      <w:r>
        <w:rPr>
          <w:rFonts w:ascii="Arial" w:cs="Arial" w:eastAsia="Arial" w:hAnsi="Arial"/>
          <w:sz w:val="22"/>
          <w:szCs w:val="22"/>
        </w:rPr>
        <w:t xml:space="preserve">Client-side integration — VPN, ERP sandbox, test-data procurement, on-site days. Variable by client; typically absorbed as part of the deployment fee in first engagements.</w:t>
      </w:r>
    </w:p>
    <w:p>
      <w:pPr>
        <w:pStyle w:val="ListParagraph"/>
        <w:numPr>
          <w:ilvl w:val="0"/>
          <w:numId w:val="2"/>
        </w:numPr>
        <w:spacing w:after="80" w:line="300"/>
      </w:pPr>
      <w:r>
        <w:rPr>
          <w:rFonts w:ascii="Arial" w:cs="Arial" w:eastAsia="Arial" w:hAnsi="Arial"/>
          <w:sz w:val="22"/>
          <w:szCs w:val="22"/>
        </w:rPr>
        <w:t xml:space="preserve">Training — deliveries to the client's operators; team time plus training-content development amortised across engagements.</w:t>
      </w:r>
    </w:p>
    <w:p>
      <w:pPr>
        <w:pStyle w:val="ListParagraph"/>
        <w:numPr>
          <w:ilvl w:val="0"/>
          <w:numId w:val="2"/>
        </w:numPr>
        <w:spacing w:after="80" w:line="300"/>
      </w:pPr>
      <w:r>
        <w:rPr>
          <w:rFonts w:ascii="Arial" w:cs="Arial" w:eastAsia="Arial" w:hAnsi="Arial"/>
          <w:sz w:val="22"/>
          <w:szCs w:val="22"/>
        </w:rPr>
        <w:t xml:space="preserve">Maintenance and support — ongoing team time proportional to the number of instruments under maintenance contract and their release cadence.</w:t>
      </w:r>
    </w:p>
    <w:p>
      <w:pPr>
        <w:pStyle w:val="Heading3"/>
        <w:spacing w:after="120" w:before="220"/>
      </w:pPr>
      <w:r>
        <w:rPr>
          <w:rFonts w:ascii="Arial" w:cs="Arial" w:eastAsia="Arial" w:hAnsi="Arial"/>
          <w:b/>
          <w:bCs/>
          <w:sz w:val="24"/>
          <w:szCs w:val="24"/>
        </w:rPr>
        <w:t xml:space="preserve">Pillar-1 per-run compute</w:t>
      </w:r>
    </w:p>
    <w:p>
      <w:pPr>
        <w:spacing w:after="120" w:line="300"/>
        <w:jc w:val="left"/>
      </w:pPr>
      <w:r>
        <w:rPr>
          <w:rFonts w:ascii="Arial" w:cs="Arial" w:eastAsia="Arial" w:hAnsi="Arial"/>
          <w:b w:val="false"/>
          <w:bCs w:val="false"/>
          <w:i w:val="false"/>
          <w:iCs w:val="false"/>
          <w:sz w:val="22"/>
          <w:szCs w:val="22"/>
        </w:rPr>
        <w:t xml:space="preserve">On the Claude Max baseline, Pillar-1 per-run compute is effectively zero at the margin for the client and zero for the venture. Instrument runs consume the client's Claude Max usage budget; the venture does not bill compute on Pillar 1 unless the instrument uses venture-operated backend components (in which case see Pillar-2 compute).</w:t>
      </w:r>
    </w:p>
    <w:p>
      <w:pPr>
        <w:pStyle w:val="Heading3"/>
        <w:spacing w:after="120" w:before="220"/>
      </w:pPr>
      <w:r>
        <w:rPr>
          <w:rFonts w:ascii="Arial" w:cs="Arial" w:eastAsia="Arial" w:hAnsi="Arial"/>
          <w:b/>
          <w:bCs/>
          <w:sz w:val="24"/>
          <w:szCs w:val="24"/>
        </w:rPr>
        <w:t xml:space="preserve">Pillar-2 backend-build engagements</w:t>
      </w:r>
    </w:p>
    <w:p>
      <w:pPr>
        <w:spacing w:after="120" w:line="300"/>
        <w:jc w:val="left"/>
      </w:pPr>
      <w:r>
        <w:rPr>
          <w:rFonts w:ascii="Arial" w:cs="Arial" w:eastAsia="Arial" w:hAnsi="Arial"/>
          <w:b w:val="false"/>
          <w:bCs w:val="false"/>
          <w:i w:val="false"/>
          <w:iCs w:val="false"/>
          <w:sz w:val="22"/>
          <w:szCs w:val="22"/>
        </w:rPr>
        <w:t xml:space="preserve">The Pillar-2 cost model in this plan is anchored to Bằng's QS project quote (section 2.6), which is the empirical reference engagement. The QS quote's 1.59 bn VND cost basis over six months decomposes as follows, and each line below is the corresponding per-engagement cost structure for any future Pillar-2 build:</w:t>
      </w:r>
    </w:p>
    <w:p>
      <w:pPr>
        <w:pStyle w:val="ListParagraph"/>
        <w:numPr>
          <w:ilvl w:val="0"/>
          <w:numId w:val="2"/>
        </w:numPr>
        <w:spacing w:after="80" w:line="300"/>
      </w:pPr>
      <w:r>
        <w:rPr>
          <w:rFonts w:ascii="Arial" w:cs="Arial" w:eastAsia="Arial" w:hAnsi="Arial"/>
          <w:b/>
          <w:bCs/>
          <w:sz w:val="22"/>
          <w:szCs w:val="22"/>
        </w:rPr>
        <w:t xml:space="preserve">AI Lead — </w:t>
      </w:r>
      <w:r>
        <w:rPr>
          <w:rFonts w:ascii="Arial" w:cs="Arial" w:eastAsia="Arial" w:hAnsi="Arial"/>
          <w:sz w:val="22"/>
          <w:szCs w:val="22"/>
        </w:rPr>
        <w:t xml:space="preserve">120M VND/mo × 6 mo = 720M VND (QS quote reference). This is Sơn's line and traces to the salary figure in section 7.2.</w:t>
      </w:r>
    </w:p>
    <w:p>
      <w:pPr>
        <w:pStyle w:val="ListParagraph"/>
        <w:numPr>
          <w:ilvl w:val="0"/>
          <w:numId w:val="2"/>
        </w:numPr>
        <w:spacing w:after="80" w:line="300"/>
      </w:pPr>
      <w:r>
        <w:rPr>
          <w:rFonts w:ascii="Arial" w:cs="Arial" w:eastAsia="Arial" w:hAnsi="Arial"/>
          <w:b/>
          <w:bCs/>
          <w:sz w:val="22"/>
          <w:szCs w:val="22"/>
        </w:rPr>
        <w:t xml:space="preserve">Software Architect (Bằng, BigSmall-seconded) — </w:t>
      </w:r>
      <w:r>
        <w:rPr>
          <w:rFonts w:ascii="Arial" w:cs="Arial" w:eastAsia="Arial" w:hAnsi="Arial"/>
          <w:sz w:val="22"/>
          <w:szCs w:val="22"/>
        </w:rPr>
        <w:t xml:space="preserve">30M VND/mo × 6 mo = 180M VND (QS quote reference). Drawn in per engagement for backend architecture work; not a standing venture cost.</w:t>
      </w:r>
    </w:p>
    <w:p>
      <w:pPr>
        <w:pStyle w:val="ListParagraph"/>
        <w:numPr>
          <w:ilvl w:val="0"/>
          <w:numId w:val="2"/>
        </w:numPr>
        <w:spacing w:after="80" w:line="300"/>
      </w:pPr>
      <w:r>
        <w:rPr>
          <w:rFonts w:ascii="Arial" w:cs="Arial" w:eastAsia="Arial" w:hAnsi="Arial"/>
          <w:b/>
          <w:bCs/>
          <w:sz w:val="22"/>
          <w:szCs w:val="22"/>
        </w:rPr>
        <w:t xml:space="preserve">Dev team (PO + 2 devs + 1 QC) — </w:t>
      </w:r>
      <w:r>
        <w:rPr>
          <w:rFonts w:ascii="Arial" w:cs="Arial" w:eastAsia="Arial" w:hAnsi="Arial"/>
          <w:sz w:val="22"/>
          <w:szCs w:val="22"/>
        </w:rPr>
        <w:t xml:space="preserve">QS quote breakdown: PO at 45M VND/mo × 6 mo = 270M; 2 devs at 40M VND/mo × 4 mo = 320M; 1 QC at 20M VND/mo × 4 mo = 80M. QS total for the dev-team line = 690M VND. This is the software-build line the plan previously attributed abstractly; it traces to the QS quote.</w:t>
      </w:r>
    </w:p>
    <w:p>
      <w:pPr>
        <w:pStyle w:val="ListParagraph"/>
        <w:numPr>
          <w:ilvl w:val="0"/>
          <w:numId w:val="2"/>
        </w:numPr>
        <w:spacing w:after="80" w:line="300"/>
      </w:pPr>
      <w:r>
        <w:rPr>
          <w:rFonts w:ascii="Arial" w:cs="Arial" w:eastAsia="Arial" w:hAnsi="Arial"/>
          <w:b/>
          <w:bCs/>
          <w:sz w:val="22"/>
          <w:szCs w:val="22"/>
        </w:rPr>
        <w:t xml:space="preserve">QS quote total cost basis: </w:t>
      </w:r>
      <w:r>
        <w:rPr>
          <w:rFonts w:ascii="Arial" w:cs="Arial" w:eastAsia="Arial" w:hAnsi="Arial"/>
          <w:sz w:val="22"/>
          <w:szCs w:val="22"/>
        </w:rPr>
        <w:t xml:space="preserve">720M + 180M + 690M = 1,590M VND (≈ 1.59 bn) over six months for the reference six-person, six-month engagement.</w:t>
      </w:r>
    </w:p>
    <w:p>
      <w:pPr>
        <w:spacing w:after="120" w:line="300"/>
        <w:jc w:val="left"/>
      </w:pPr>
      <w:r>
        <w:rPr>
          <w:rFonts w:ascii="Arial" w:cs="Arial" w:eastAsia="Arial" w:hAnsi="Arial"/>
          <w:b w:val="false"/>
          <w:bCs w:val="false"/>
          <w:i w:val="false"/>
          <w:iCs w:val="false"/>
          <w:sz w:val="22"/>
          <w:szCs w:val="22"/>
        </w:rPr>
        <w:t xml:space="preserve">Additional Pillar-2 cost components not fully captured in the QS quote — and which should be added per engagement:</w:t>
      </w:r>
    </w:p>
    <w:p>
      <w:pPr>
        <w:pStyle w:val="ListParagraph"/>
        <w:numPr>
          <w:ilvl w:val="0"/>
          <w:numId w:val="2"/>
        </w:numPr>
        <w:spacing w:after="80" w:line="300"/>
      </w:pPr>
      <w:r>
        <w:rPr>
          <w:rFonts w:ascii="Arial" w:cs="Arial" w:eastAsia="Arial" w:hAnsi="Arial"/>
          <w:sz w:val="22"/>
          <w:szCs w:val="22"/>
        </w:rPr>
        <w:t xml:space="preserve">Scoping and design — one to two weeks of AI Lead + Agentic Dev time to specialise the reference architecture. May sit inside the first month of the engagement (as QS does) or be a separate pre-engagement line.</w:t>
      </w:r>
    </w:p>
    <w:p>
      <w:pPr>
        <w:pStyle w:val="ListParagraph"/>
        <w:numPr>
          <w:ilvl w:val="0"/>
          <w:numId w:val="2"/>
        </w:numPr>
        <w:spacing w:after="80" w:line="300"/>
      </w:pPr>
      <w:r>
        <w:rPr>
          <w:rFonts w:ascii="Arial" w:cs="Arial" w:eastAsia="Arial" w:hAnsi="Arial"/>
          <w:sz w:val="22"/>
          <w:szCs w:val="22"/>
        </w:rPr>
        <w:t xml:space="preserve">Infrastructure — hosting, storage, logging, identity (OAuth server, audit sink). Monthly run-rate depends on scale; budget line item set per engagement.</w:t>
      </w:r>
    </w:p>
    <w:p>
      <w:pPr>
        <w:pStyle w:val="ListParagraph"/>
        <w:numPr>
          <w:ilvl w:val="0"/>
          <w:numId w:val="2"/>
        </w:numPr>
        <w:spacing w:after="80" w:line="300"/>
      </w:pPr>
      <w:r>
        <w:rPr>
          <w:rFonts w:ascii="Arial" w:cs="Arial" w:eastAsia="Arial" w:hAnsi="Arial"/>
          <w:sz w:val="22"/>
          <w:szCs w:val="22"/>
        </w:rPr>
        <w:t xml:space="preserve">Curated corpus development — research labour to build and verify the server-side KB. Budget line item set per engagement; may overlap with the KB-curation line (see 7.7).</w:t>
      </w:r>
    </w:p>
    <w:p>
      <w:pPr>
        <w:pStyle w:val="ListParagraph"/>
        <w:numPr>
          <w:ilvl w:val="0"/>
          <w:numId w:val="2"/>
        </w:numPr>
        <w:spacing w:after="80" w:line="300"/>
      </w:pPr>
      <w:r>
        <w:rPr>
          <w:rFonts w:ascii="Arial" w:cs="Arial" w:eastAsia="Arial" w:hAnsi="Arial"/>
          <w:sz w:val="22"/>
          <w:szCs w:val="22"/>
        </w:rPr>
        <w:t xml:space="preserve">Cross-venture composition costs — coordination time with the cybersecurity and IoT companies; treated as an inter-company chargeback or a shared-cost line as the Innovation Centre determines.</w:t>
      </w:r>
    </w:p>
    <w:p>
      <w:pPr>
        <w:pStyle w:val="Heading3"/>
        <w:spacing w:after="120" w:before="220"/>
      </w:pPr>
      <w:r>
        <w:rPr>
          <w:rFonts w:ascii="Arial" w:cs="Arial" w:eastAsia="Arial" w:hAnsi="Arial"/>
          <w:b/>
          <w:bCs/>
          <w:sz w:val="24"/>
          <w:szCs w:val="24"/>
        </w:rPr>
        <w:t xml:space="preserve">Pillar-2 per-run compute</w:t>
      </w:r>
    </w:p>
    <w:p>
      <w:pPr>
        <w:spacing w:after="120" w:line="300"/>
        <w:jc w:val="left"/>
      </w:pPr>
      <w:r>
        <w:rPr>
          <w:rFonts w:ascii="Arial" w:cs="Arial" w:eastAsia="Arial" w:hAnsi="Arial"/>
          <w:b w:val="false"/>
          <w:bCs w:val="false"/>
          <w:i w:val="false"/>
          <w:iCs w:val="false"/>
          <w:sz w:val="22"/>
          <w:szCs w:val="22"/>
        </w:rPr>
        <w:t xml:space="preserve">ATP's empirical figure is approximately $10 per produced report, with a typical three-to-four iteration multiplier to reach a usable user deliverable, for an effective per-deliverable compute cost of roughly $30. This figure is the reference for the plan's Pillar-2 compute-cost reasoning; individual Pillar-2 engagements will have their own profiles measured during pilot phase. How this compute cost is billed to the client (pass-through credits, bundled subscription, project fee, or any hybrid) is a commercial decision outside this plan's scope.</w:t>
      </w:r>
    </w:p>
    <w:p>
      <w:pPr>
        <w:pStyle w:val="Heading3"/>
        <w:spacing w:after="120" w:before="220"/>
      </w:pPr>
      <w:r>
        <w:rPr>
          <w:rFonts w:ascii="Arial" w:cs="Arial" w:eastAsia="Arial" w:hAnsi="Arial"/>
          <w:b/>
          <w:bCs/>
          <w:sz w:val="24"/>
          <w:szCs w:val="24"/>
        </w:rPr>
        <w:t xml:space="preserve">3× iteration multiplier as a design assumption</w:t>
      </w:r>
    </w:p>
    <w:p>
      <w:pPr>
        <w:spacing w:after="120" w:line="300"/>
        <w:jc w:val="left"/>
      </w:pPr>
      <w:r>
        <w:rPr>
          <w:rFonts w:ascii="Arial" w:cs="Arial" w:eastAsia="Arial" w:hAnsi="Arial"/>
          <w:b w:val="false"/>
          <w:bCs w:val="false"/>
          <w:i w:val="false"/>
          <w:iCs w:val="false"/>
          <w:sz w:val="22"/>
          <w:szCs w:val="22"/>
        </w:rPr>
        <w:t xml:space="preserve">Agentic work is iterative. Users run, refine context, adjust scope, re-run. The plan bakes a 3× iteration multiplier into its per-run cost reasoning as a default. Instruments with strong upfront context gathering (Mindgap's elicitation-form contract, ATP's gather_context step) can compress this closer to 2×; instruments with weaker context discovery run closer to 4-5×. Instrument design should treat iteration efficiency as an optimisation target because it directly reduces per-deliverable cost.</w:t>
      </w:r>
    </w:p>
    <w:p>
      <w:pPr>
        <w:pStyle w:val="Heading2"/>
        <w:spacing w:after="140" w:before="280"/>
      </w:pPr>
      <w:r>
        <w:rPr>
          <w:rFonts w:ascii="Arial" w:cs="Arial" w:eastAsia="Arial" w:hAnsi="Arial"/>
          <w:b/>
          <w:bCs/>
          <w:sz w:val="28"/>
          <w:szCs w:val="28"/>
        </w:rPr>
        <w:t xml:space="preserve">7.6 R&amp;D line — instrument generation and reference-architecture work</w:t>
      </w:r>
    </w:p>
    <w:p>
      <w:pPr>
        <w:spacing w:after="120" w:line="300"/>
        <w:jc w:val="left"/>
      </w:pPr>
      <w:r>
        <w:rPr>
          <w:rFonts w:ascii="Arial" w:cs="Arial" w:eastAsia="Arial" w:hAnsi="Arial"/>
          <w:b w:val="false"/>
          <w:bCs w:val="false"/>
          <w:i w:val="false"/>
          <w:iCs w:val="false"/>
          <w:sz w:val="22"/>
          <w:szCs w:val="22"/>
        </w:rPr>
        <w:t xml:space="preserve">The venture dedicates an explicit R&amp;D budget line for:</w:t>
      </w:r>
    </w:p>
    <w:p>
      <w:pPr>
        <w:pStyle w:val="ListParagraph"/>
        <w:numPr>
          <w:ilvl w:val="0"/>
          <w:numId w:val="2"/>
        </w:numPr>
        <w:spacing w:after="80" w:line="300"/>
      </w:pPr>
      <w:r>
        <w:rPr>
          <w:rFonts w:ascii="Arial" w:cs="Arial" w:eastAsia="Arial" w:hAnsi="Arial"/>
          <w:sz w:val="22"/>
          <w:szCs w:val="22"/>
        </w:rPr>
        <w:t xml:space="preserve">Generating new Pillar-1 instruments before specific client engagements are signed — staying ahead of the catalogue.</w:t>
      </w:r>
    </w:p>
    <w:p>
      <w:pPr>
        <w:pStyle w:val="ListParagraph"/>
        <w:numPr>
          <w:ilvl w:val="0"/>
          <w:numId w:val="2"/>
        </w:numPr>
        <w:spacing w:after="80" w:line="300"/>
      </w:pPr>
      <w:r>
        <w:rPr>
          <w:rFonts w:ascii="Arial" w:cs="Arial" w:eastAsia="Arial" w:hAnsi="Arial"/>
          <w:sz w:val="22"/>
          <w:szCs w:val="22"/>
        </w:rPr>
        <w:t xml:space="preserve">Evolving the reference architecture and component library for Pillar 2.</w:t>
      </w:r>
    </w:p>
    <w:p>
      <w:pPr>
        <w:pStyle w:val="ListParagraph"/>
        <w:numPr>
          <w:ilvl w:val="0"/>
          <w:numId w:val="2"/>
        </w:numPr>
        <w:spacing w:after="80" w:line="300"/>
      </w:pPr>
      <w:r>
        <w:rPr>
          <w:rFonts w:ascii="Arial" w:cs="Arial" w:eastAsia="Arial" w:hAnsi="Arial"/>
          <w:sz w:val="22"/>
          <w:szCs w:val="22"/>
        </w:rPr>
        <w:t xml:space="preserve">Extending the cross-cutting references (rendering contract, validator, citation rule, working-folder contract) as the discipline matures.</w:t>
      </w:r>
    </w:p>
    <w:p>
      <w:pPr>
        <w:pStyle w:val="ListParagraph"/>
        <w:numPr>
          <w:ilvl w:val="0"/>
          <w:numId w:val="2"/>
        </w:numPr>
        <w:spacing w:after="80" w:line="300"/>
      </w:pPr>
      <w:r>
        <w:rPr>
          <w:rFonts w:ascii="Arial" w:cs="Arial" w:eastAsia="Arial" w:hAnsi="Arial"/>
          <w:sz w:val="22"/>
          <w:szCs w:val="22"/>
        </w:rPr>
        <w:t xml:space="preserve">Upstream research sharing with BigSmall and Panalogy Lab — the venture benefits from those labs' outputs and maintains visibility into their pipelines.</w:t>
      </w:r>
    </w:p>
    <w:p>
      <w:pPr>
        <w:spacing w:after="120" w:line="300"/>
        <w:jc w:val="left"/>
      </w:pPr>
      <w:r>
        <w:rPr>
          <w:rFonts w:ascii="Arial" w:cs="Arial" w:eastAsia="Arial" w:hAnsi="Arial"/>
          <w:b w:val="false"/>
          <w:bCs w:val="false"/>
          <w:i w:val="false"/>
          <w:iCs w:val="false"/>
          <w:sz w:val="22"/>
          <w:szCs w:val="22"/>
        </w:rPr>
        <w:t xml:space="preserve">Without a named R&amp;D line, client work always wins the priority argument and the readiness infrastructure never gets built. The plan estimates this line at roughly fifteen to twenty per cent of the team's time in steady state. The business plan translates this into a VND figure against the staffed team.</w:t>
      </w:r>
    </w:p>
    <w:p>
      <w:pPr>
        <w:pStyle w:val="Heading2"/>
        <w:spacing w:after="140" w:before="280"/>
      </w:pPr>
      <w:r>
        <w:rPr>
          <w:rFonts w:ascii="Arial" w:cs="Arial" w:eastAsia="Arial" w:hAnsi="Arial"/>
          <w:b/>
          <w:bCs/>
          <w:sz w:val="28"/>
          <w:szCs w:val="28"/>
        </w:rPr>
        <w:t xml:space="preserve">7.7 KB-curation line — separate from R&amp;D</w:t>
      </w:r>
    </w:p>
    <w:p>
      <w:pPr>
        <w:spacing w:after="120" w:line="300"/>
        <w:jc w:val="left"/>
      </w:pPr>
      <w:r>
        <w:rPr>
          <w:rFonts w:ascii="Arial" w:cs="Arial" w:eastAsia="Arial" w:hAnsi="Arial"/>
          <w:b w:val="false"/>
          <w:bCs w:val="false"/>
          <w:i w:val="false"/>
          <w:iCs w:val="false"/>
          <w:sz w:val="22"/>
          <w:szCs w:val="22"/>
        </w:rPr>
        <w:t xml:space="preserve">Curated knowledge bases are what make instruments instruments. The labour of building, reviewing, and refreshing Vietnamese KBs (cultural, social, religious, operational, regulatory, sectoral) does not compress into the R&amp;D line without being squeezed out. The plan carries KB curation as its own explicit line, because the instruments depend on it.</w:t>
      </w:r>
    </w:p>
    <w:p>
      <w:pPr>
        <w:spacing w:after="120" w:line="300"/>
        <w:jc w:val="left"/>
      </w:pPr>
      <w:r>
        <w:rPr>
          <w:rFonts w:ascii="Arial" w:cs="Arial" w:eastAsia="Arial" w:hAnsi="Arial"/>
          <w:b w:val="false"/>
          <w:bCs w:val="false"/>
          <w:i w:val="false"/>
          <w:iCs w:val="false"/>
          <w:sz w:val="22"/>
          <w:szCs w:val="22"/>
        </w:rPr>
        <w:t xml:space="preserve">Starting assumption: KB curation consumes roughly one day per instrument per month in steady state once an instrument is in production, plus a bursty workload during instrument generation (four to six weeks of concentrated curation per new instrument). When the team expands per section 6.4, KB curation is one of the first specialised hires.</w:t>
      </w:r>
    </w:p>
    <w:p>
      <w:pPr>
        <w:pStyle w:val="Heading2"/>
        <w:spacing w:after="140" w:before="280"/>
      </w:pPr>
      <w:r>
        <w:rPr>
          <w:rFonts w:ascii="Arial" w:cs="Arial" w:eastAsia="Arial" w:hAnsi="Arial"/>
          <w:b/>
          <w:bCs/>
          <w:sz w:val="28"/>
          <w:szCs w:val="28"/>
        </w:rPr>
        <w:t xml:space="preserve">7.8 Other AI-operating cost lines</w:t>
      </w:r>
    </w:p>
    <w:p>
      <w:pPr>
        <w:spacing w:after="120" w:line="300"/>
        <w:jc w:val="left"/>
      </w:pPr>
      <w:r>
        <w:rPr>
          <w:rFonts w:ascii="Arial" w:cs="Arial" w:eastAsia="Arial" w:hAnsi="Arial"/>
          <w:b w:val="false"/>
          <w:bCs w:val="false"/>
          <w:i w:val="false"/>
          <w:iCs w:val="false"/>
          <w:sz w:val="22"/>
          <w:szCs w:val="22"/>
        </w:rPr>
        <w:t xml:space="preserve">This list covers cost lines that arise from AI-engineering operation. Non-AI operating costs (marketing and BD, general-venture admin, sales, corporate services) are out of this plan's scope and are the business plan's to budget.</w:t>
      </w:r>
    </w:p>
    <w:p>
      <w:pPr>
        <w:pStyle w:val="ListParagraph"/>
        <w:numPr>
          <w:ilvl w:val="0"/>
          <w:numId w:val="2"/>
        </w:numPr>
        <w:spacing w:after="80" w:line="300"/>
      </w:pPr>
      <w:r>
        <w:rPr>
          <w:rFonts w:ascii="Arial" w:cs="Arial" w:eastAsia="Arial" w:hAnsi="Arial"/>
          <w:b/>
          <w:bCs/>
          <w:sz w:val="22"/>
          <w:szCs w:val="22"/>
        </w:rPr>
        <w:t xml:space="preserve">Legal and compliance templates — </w:t>
      </w:r>
      <w:r>
        <w:rPr>
          <w:rFonts w:ascii="Arial" w:cs="Arial" w:eastAsia="Arial" w:hAnsi="Arial"/>
          <w:sz w:val="22"/>
          <w:szCs w:val="22"/>
        </w:rPr>
        <w:t xml:space="preserve">template services agreement, Vietnamese-law DPA compatible with the Personal Data Protection Decree and the Law on Cybersecurity, IP assignment clauses, client data-handling templates. Noted here because instrument deployment touches client data and requires these templates at engagement signing; a lawyer-reviewed template set is a one-off at venture start with a small monthly retainer thereafter.</w:t>
      </w:r>
    </w:p>
    <w:p>
      <w:pPr>
        <w:pStyle w:val="ListParagraph"/>
        <w:numPr>
          <w:ilvl w:val="0"/>
          <w:numId w:val="2"/>
        </w:numPr>
        <w:spacing w:after="80" w:line="300"/>
      </w:pPr>
      <w:r>
        <w:rPr>
          <w:rFonts w:ascii="Arial" w:cs="Arial" w:eastAsia="Arial" w:hAnsi="Arial"/>
          <w:b/>
          <w:bCs/>
          <w:sz w:val="22"/>
          <w:szCs w:val="22"/>
        </w:rPr>
        <w:t xml:space="preserve">Training-content development — </w:t>
      </w:r>
      <w:r>
        <w:rPr>
          <w:rFonts w:ascii="Arial" w:cs="Arial" w:eastAsia="Arial" w:hAnsi="Arial"/>
          <w:sz w:val="22"/>
          <w:szCs w:val="22"/>
        </w:rPr>
        <w:t xml:space="preserve">Vietnamese-language screencasts, SOPs, client-facing knowledge base content for the venture's own instruments. Produced once per instrument; amortised across deployments.</w:t>
      </w:r>
    </w:p>
    <w:p>
      <w:pPr>
        <w:pStyle w:val="ListParagraph"/>
        <w:numPr>
          <w:ilvl w:val="0"/>
          <w:numId w:val="2"/>
        </w:numPr>
        <w:spacing w:after="80" w:line="300"/>
      </w:pPr>
      <w:r>
        <w:rPr>
          <w:rFonts w:ascii="Arial" w:cs="Arial" w:eastAsia="Arial" w:hAnsi="Arial"/>
          <w:b/>
          <w:bCs/>
          <w:sz w:val="22"/>
          <w:szCs w:val="22"/>
        </w:rPr>
        <w:t xml:space="preserve">Third-party AI-runtime costs (pass-through) — </w:t>
      </w:r>
      <w:r>
        <w:rPr>
          <w:rFonts w:ascii="Arial" w:cs="Arial" w:eastAsia="Arial" w:hAnsi="Arial"/>
          <w:sz w:val="22"/>
          <w:szCs w:val="22"/>
        </w:rPr>
        <w:t xml:space="preserve">web search, generative-model calls (image, video, music), specialty-data APIs that an instrument or a Pillar-2 backend consumes. Tracked per instrument and per engagement; commercial decision on pass-through is out of scope.</w:t>
      </w:r>
    </w:p>
    <w:p>
      <w:pPr>
        <w:pStyle w:val="ListParagraph"/>
        <w:numPr>
          <w:ilvl w:val="0"/>
          <w:numId w:val="2"/>
        </w:numPr>
        <w:spacing w:after="80" w:line="300"/>
      </w:pPr>
      <w:r>
        <w:rPr>
          <w:rFonts w:ascii="Arial" w:cs="Arial" w:eastAsia="Arial" w:hAnsi="Arial"/>
          <w:b/>
          <w:bCs/>
          <w:sz w:val="22"/>
          <w:szCs w:val="22"/>
        </w:rPr>
        <w:t xml:space="preserve">AI-engagement contingency — </w:t>
      </w:r>
      <w:r>
        <w:rPr>
          <w:rFonts w:ascii="Arial" w:cs="Arial" w:eastAsia="Arial" w:hAnsi="Arial"/>
          <w:sz w:val="22"/>
          <w:szCs w:val="22"/>
        </w:rPr>
        <w:t xml:space="preserve">10-15% reserve on per-engagement cost lines for unforeseen instrument-deployment work on new client systems (custom connector surprises, sandbox provisioning delays, unexpected data-shape discoveries).</w:t>
      </w:r>
    </w:p>
    <w:p>
      <w:pPr>
        <w:pStyle w:val="ListParagraph"/>
        <w:numPr>
          <w:ilvl w:val="0"/>
          <w:numId w:val="2"/>
        </w:numPr>
        <w:spacing w:after="80" w:line="300"/>
      </w:pPr>
      <w:r>
        <w:rPr>
          <w:rFonts w:ascii="Arial" w:cs="Arial" w:eastAsia="Arial" w:hAnsi="Arial"/>
          <w:b/>
          <w:bCs/>
          <w:sz w:val="22"/>
          <w:szCs w:val="22"/>
        </w:rPr>
        <w:t xml:space="preserve">Anthropic platform drift reserve — </w:t>
      </w:r>
      <w:r>
        <w:rPr>
          <w:rFonts w:ascii="Arial" w:cs="Arial" w:eastAsia="Arial" w:hAnsi="Arial"/>
          <w:sz w:val="22"/>
          <w:szCs w:val="22"/>
        </w:rPr>
        <w:t xml:space="preserve">a small reserve against Anthropic pricing or contract changes that affect the venture's per-run Pillar-2 compute costs or the client's Claude Max baseline. Sizing and pass-through policy are commercial decisions outside this plan's scope.</w:t>
      </w:r>
    </w:p>
    <w:p>
      <w:pPr>
        <w:pStyle w:val="Heading2"/>
        <w:spacing w:after="140" w:before="280"/>
      </w:pPr>
      <w:r>
        <w:rPr>
          <w:rFonts w:ascii="Arial" w:cs="Arial" w:eastAsia="Arial" w:hAnsi="Arial"/>
          <w:b/>
          <w:bCs/>
          <w:sz w:val="28"/>
          <w:szCs w:val="28"/>
        </w:rPr>
        <w:t xml:space="preserve">7.9 What the cost section does not contain</w:t>
      </w:r>
    </w:p>
    <w:p>
      <w:pPr>
        <w:spacing w:after="120" w:line="300"/>
        <w:jc w:val="left"/>
      </w:pPr>
      <w:r>
        <w:rPr>
          <w:rFonts w:ascii="Arial" w:cs="Arial" w:eastAsia="Arial" w:hAnsi="Arial"/>
          <w:b w:val="false"/>
          <w:bCs w:val="false"/>
          <w:i w:val="false"/>
          <w:iCs w:val="false"/>
          <w:sz w:val="22"/>
          <w:szCs w:val="22"/>
        </w:rPr>
        <w:t xml:space="preserve">This section does not contain recommended prices, margin targets, packaging, discount structures, client tiering in commercial terms, revenue forecasts, or billing-model recommendations. Those are the business plan's scope. The AI plan presents the cost facts only.</w:t>
      </w:r>
    </w:p>
    <w:p>
      <w:pPr>
        <w:pStyle w:val="Heading1"/>
        <w:spacing w:after="180" w:before="360"/>
      </w:pPr>
      <w:r>
        <w:rPr>
          <w:rFonts w:ascii="Arial" w:cs="Arial" w:eastAsia="Arial" w:hAnsi="Arial"/>
          <w:b/>
          <w:bCs/>
          <w:sz w:val="32"/>
          <w:szCs w:val="32"/>
        </w:rPr>
        <w:t xml:space="preserve">8. Risks</w:t>
      </w:r>
    </w:p>
    <w:p>
      <w:pPr>
        <w:spacing w:after="120" w:line="300"/>
        <w:jc w:val="left"/>
      </w:pPr>
      <w:r>
        <w:rPr>
          <w:rFonts w:ascii="Arial" w:cs="Arial" w:eastAsia="Arial" w:hAnsi="Arial"/>
          <w:b w:val="false"/>
          <w:bCs w:val="false"/>
          <w:i w:val="false"/>
          <w:iCs w:val="false"/>
          <w:sz w:val="22"/>
          <w:szCs w:val="22"/>
        </w:rPr>
        <w:t xml:space="preserve">The plan names risks that arise from the AI operating side — risks to the venture's ability to build, deploy, and maintain AI work at the quality described elsewhere in this plan. Commercial, market, financial, and strategic risks are out of scope and are the business plan's to name.</w:t>
      </w:r>
    </w:p>
    <w:p>
      <w:pPr>
        <w:pStyle w:val="Heading2"/>
        <w:spacing w:after="140" w:before="280"/>
      </w:pPr>
      <w:r>
        <w:rPr>
          <w:rFonts w:ascii="Arial" w:cs="Arial" w:eastAsia="Arial" w:hAnsi="Arial"/>
          <w:b/>
          <w:bCs/>
          <w:sz w:val="28"/>
          <w:szCs w:val="28"/>
        </w:rPr>
        <w:t xml:space="preserve">8.1 AI-lead schedule constraint</w:t>
      </w:r>
    </w:p>
    <w:p>
      <w:pPr>
        <w:spacing w:after="120" w:line="300"/>
        <w:jc w:val="left"/>
      </w:pPr>
      <w:r>
        <w:rPr>
          <w:rFonts w:ascii="Arial" w:cs="Arial" w:eastAsia="Arial" w:hAnsi="Arial"/>
          <w:b w:val="false"/>
          <w:bCs w:val="false"/>
          <w:i w:val="false"/>
          <w:iCs w:val="false"/>
          <w:sz w:val="22"/>
          <w:szCs w:val="22"/>
        </w:rPr>
        <w:t xml:space="preserve">Sơn's stated load is one-third. While the output is full-FTE-equivalent (section 6.2), real-time availability — same-day turnaround on unexpected issues, extended on-site presence at a client, deep context-switching across multiple simultaneous engagements — is bounded by the scheduled hours. This is a real and ongoing constraint, not a transitional one. Mitigations: explicit hiring triggers that add capability rather than dilute attention; weekly cadence of structured training to reduce dependence on the AI lead's in-the-moment judgment; documented twelve-property discipline and connector-library patterns that survive the lead's periodic absence; and explicit client-communication about which engagement moments require the lead's presence versus which the agentic dev can carry.</w:t>
      </w:r>
    </w:p>
    <w:p>
      <w:pPr>
        <w:pStyle w:val="Heading2"/>
        <w:spacing w:after="140" w:before="280"/>
      </w:pPr>
      <w:r>
        <w:rPr>
          <w:rFonts w:ascii="Arial" w:cs="Arial" w:eastAsia="Arial" w:hAnsi="Arial"/>
          <w:b/>
          <w:bCs/>
          <w:sz w:val="28"/>
          <w:szCs w:val="28"/>
        </w:rPr>
        <w:t xml:space="preserve">8.2 Thin-skill diffusion</w:t>
      </w:r>
    </w:p>
    <w:p>
      <w:pPr>
        <w:spacing w:after="120" w:line="300"/>
        <w:jc w:val="left"/>
      </w:pPr>
      <w:r>
        <w:rPr>
          <w:rFonts w:ascii="Arial" w:cs="Arial" w:eastAsia="Arial" w:hAnsi="Arial"/>
          <w:b w:val="false"/>
          <w:bCs w:val="false"/>
          <w:i w:val="false"/>
          <w:iCs w:val="false"/>
          <w:sz w:val="22"/>
          <w:szCs w:val="22"/>
        </w:rPr>
        <w:t xml:space="preserve">Over twelve to twenty-four months, businesses with Claude Max and a capable employee can feasibly build their own thin skills. Technically this is not a risk — it is the expected outcome at that tier. The AI-plan-scoped concern is misreading where the tier boundary sits in a given vertical (i.e., calling something an instrument when it is actually a thin skill, or vice versa). Mitigation: the twelve-property instrument definition and the tier language in section 3.1 give the venture an explicit tier test for any new work; the dev's client-facing exposure is the venture's best signal for how the boundary is moving.</w:t>
      </w:r>
    </w:p>
    <w:p>
      <w:pPr>
        <w:pStyle w:val="Heading2"/>
        <w:spacing w:after="140" w:before="280"/>
      </w:pPr>
      <w:r>
        <w:rPr>
          <w:rFonts w:ascii="Arial" w:cs="Arial" w:eastAsia="Arial" w:hAnsi="Arial"/>
          <w:b/>
          <w:bCs/>
          <w:sz w:val="28"/>
          <w:szCs w:val="28"/>
        </w:rPr>
        <w:t xml:space="preserve">8.3 KB-curation debt</w:t>
      </w:r>
    </w:p>
    <w:p>
      <w:pPr>
        <w:spacing w:after="120" w:line="300"/>
        <w:jc w:val="left"/>
      </w:pPr>
      <w:r>
        <w:rPr>
          <w:rFonts w:ascii="Arial" w:cs="Arial" w:eastAsia="Arial" w:hAnsi="Arial"/>
          <w:b w:val="false"/>
          <w:bCs w:val="false"/>
          <w:i w:val="false"/>
          <w:iCs w:val="false"/>
          <w:sz w:val="22"/>
          <w:szCs w:val="22"/>
        </w:rPr>
        <w:t xml:space="preserve">Curated knowledge bases decay. Regulations change, cultural incidents happen, sectoral practice evolves. An instrument whose KB has not been refreshed in eighteen months is no longer instrument-grade. Mitigation: the KB-curation line is named explicitly in the cost section and the validator enforces freshness warnings; the operational discipline is to refresh before the warning fires.</w:t>
      </w:r>
    </w:p>
    <w:p>
      <w:pPr>
        <w:pStyle w:val="Heading2"/>
        <w:spacing w:after="140" w:before="280"/>
      </w:pPr>
      <w:r>
        <w:rPr>
          <w:rFonts w:ascii="Arial" w:cs="Arial" w:eastAsia="Arial" w:hAnsi="Arial"/>
          <w:b/>
          <w:bCs/>
          <w:sz w:val="28"/>
          <w:szCs w:val="28"/>
        </w:rPr>
        <w:t xml:space="preserve">8.4 Anthropic platform dependency</w:t>
      </w:r>
    </w:p>
    <w:p>
      <w:pPr>
        <w:spacing w:after="120" w:line="300"/>
        <w:jc w:val="left"/>
      </w:pPr>
      <w:r>
        <w:rPr>
          <w:rFonts w:ascii="Arial" w:cs="Arial" w:eastAsia="Arial" w:hAnsi="Arial"/>
          <w:b w:val="false"/>
          <w:bCs w:val="false"/>
          <w:i w:val="false"/>
          <w:iCs w:val="false"/>
          <w:sz w:val="22"/>
          <w:szCs w:val="22"/>
        </w:rPr>
        <w:t xml:space="preserve">The venture builds on Claude. If Anthropic changes Claude's pricing, usage limits, skill contract, MCP protocol, or commercial terms, the venture's cost physics shifts with them. Mitigations: pass-through credit billing on Pillar-2 compute; deep enough non-compute value (KB, deployment, training, maintenance, connector library) that token-price drift is noise in the contract; and architectural discipline that keeps the instrument-definition twelve properties portable — an instrument's KB, calculators, rendering contract, and validator are not locked to Claude specifically.</w:t>
      </w:r>
    </w:p>
    <w:p>
      <w:pPr>
        <w:pStyle w:val="Heading2"/>
        <w:spacing w:after="140" w:before="280"/>
      </w:pPr>
      <w:r>
        <w:rPr>
          <w:rFonts w:ascii="Arial" w:cs="Arial" w:eastAsia="Arial" w:hAnsi="Arial"/>
          <w:b/>
          <w:bCs/>
          <w:sz w:val="28"/>
          <w:szCs w:val="28"/>
        </w:rPr>
        <w:t xml:space="preserve">8.5 Regulatory drift in Vietnam</w:t>
      </w:r>
    </w:p>
    <w:p>
      <w:pPr>
        <w:spacing w:after="120" w:line="300"/>
        <w:jc w:val="left"/>
      </w:pPr>
      <w:r>
        <w:rPr>
          <w:rFonts w:ascii="Arial" w:cs="Arial" w:eastAsia="Arial" w:hAnsi="Arial"/>
          <w:b w:val="false"/>
          <w:bCs w:val="false"/>
          <w:i w:val="false"/>
          <w:iCs w:val="false"/>
          <w:sz w:val="22"/>
          <w:szCs w:val="22"/>
        </w:rPr>
        <w:t xml:space="preserve">Vietnamese AI regulation is actively evolving. A new law or decree can require re-curation of KBs, re-certification of deployment posture, or restriction of cross-border data flows that an instrument relies on. Mitigation: close reading of regulatory developments (the legal-operations instrument and the evaluate-legal skill pattern help here); relationships with regulators through the Innovation Centre; and conservative deployment posture (tenanted identity, audit logging, data-flow documentation) that tends to clear newer regulatory bars rather than fail them.</w:t>
      </w:r>
    </w:p>
    <w:p>
      <w:pPr>
        <w:pStyle w:val="Heading2"/>
        <w:spacing w:after="140" w:before="280"/>
      </w:pPr>
      <w:r>
        <w:rPr>
          <w:rFonts w:ascii="Arial" w:cs="Arial" w:eastAsia="Arial" w:hAnsi="Arial"/>
          <w:b/>
          <w:bCs/>
          <w:sz w:val="28"/>
          <w:szCs w:val="28"/>
        </w:rPr>
        <w:t xml:space="preserve">8.6 Client-data handling exposure</w:t>
      </w:r>
    </w:p>
    <w:p>
      <w:pPr>
        <w:spacing w:after="120" w:line="300"/>
        <w:jc w:val="left"/>
      </w:pPr>
      <w:r>
        <w:rPr>
          <w:rFonts w:ascii="Arial" w:cs="Arial" w:eastAsia="Arial" w:hAnsi="Arial"/>
          <w:b w:val="false"/>
          <w:bCs w:val="false"/>
          <w:i w:val="false"/>
          <w:iCs w:val="false"/>
          <w:sz w:val="22"/>
          <w:szCs w:val="22"/>
        </w:rPr>
        <w:t xml:space="preserve">Instruments and Pillar-2 systems touch client data. A breach, misuse, or mishandling incident would be materially damaging. Mitigations: the deployment-posture property (9) is a first-class engineering property of every instrument; the cybersecurity company is a structural input to deployment rather than a post-hoc reviewer; audit logging is non-optional; and the legal template set includes incident-response clauses.</w:t>
      </w:r>
    </w:p>
    <w:p>
      <w:pPr>
        <w:pStyle w:val="Heading2"/>
        <w:spacing w:after="140" w:before="280"/>
      </w:pPr>
      <w:r>
        <w:rPr>
          <w:rFonts w:ascii="Arial" w:cs="Arial" w:eastAsia="Arial" w:hAnsi="Arial"/>
          <w:b/>
          <w:bCs/>
          <w:sz w:val="28"/>
          <w:szCs w:val="28"/>
        </w:rPr>
        <w:t xml:space="preserve">8.7 Technical-differentiation erosion</w:t>
      </w:r>
    </w:p>
    <w:p>
      <w:pPr>
        <w:spacing w:after="120" w:line="300"/>
        <w:jc w:val="left"/>
      </w:pPr>
      <w:r>
        <w:rPr>
          <w:rFonts w:ascii="Arial" w:cs="Arial" w:eastAsia="Arial" w:hAnsi="Arial"/>
          <w:b w:val="false"/>
          <w:bCs w:val="false"/>
          <w:i w:val="false"/>
          <w:iCs w:val="false"/>
          <w:sz w:val="22"/>
          <w:szCs w:val="22"/>
        </w:rPr>
        <w:t xml:space="preserve">The twelve-property discipline is a technical differentiator, but it is not a uniquely-held one — other Vietnamese or regional engineering groups can in principle adopt the same discipline. The risk, in AI-plan terms, is that the venture's technical margin narrows if KB curation, connector-library growth, and instrument release cadence fall behind. Mitigations are engineering-operational: continuous KB curation on cadence, a growing connector library that compounds across engagements, validator-enforced rendering and calculator discipline, and routine upstream research flow from BigSmall and Panalogy Lab. Market-level competitive-entry questions are out of scope and are the business plan's to assess.</w:t>
      </w:r>
    </w:p>
    <w:p>
      <w:pPr>
        <w:pStyle w:val="Heading1"/>
        <w:spacing w:after="180" w:before="360"/>
      </w:pPr>
      <w:r>
        <w:rPr>
          <w:rFonts w:ascii="Arial" w:cs="Arial" w:eastAsia="Arial" w:hAnsi="Arial"/>
          <w:b/>
          <w:bCs/>
          <w:sz w:val="32"/>
          <w:szCs w:val="32"/>
        </w:rPr>
        <w:t xml:space="preserve">9. Summary</w:t>
      </w:r>
    </w:p>
    <w:p>
      <w:pPr>
        <w:spacing w:after="120" w:line="300"/>
        <w:jc w:val="left"/>
      </w:pPr>
      <w:r>
        <w:rPr>
          <w:rFonts w:ascii="Arial" w:cs="Arial" w:eastAsia="Arial" w:hAnsi="Arial"/>
          <w:b w:val="false"/>
          <w:bCs w:val="false"/>
          <w:i w:val="false"/>
          <w:iCs w:val="false"/>
          <w:sz w:val="22"/>
          <w:szCs w:val="22"/>
        </w:rPr>
        <w:t xml:space="preserve">This AI plan answers a feasibility question: given the context (three-person team — two standing plus Bằng's per-engagement architect capacity; three production-grade reference instances — Mindgap and ATP from BigSmall AI, and Agent Rung from Panalogy Lab — demonstrating team capability across skill-tier, backend-tier, and cyber-physical-tier agentic work; a cybersec company and an IoT company in the Innovation Centre; Vietnamese businesses and government as the deployment surface), what AI work can the venture build, deploy, and maintain, and at what operational cost?</w:t>
      </w:r>
    </w:p>
    <w:p>
      <w:pPr>
        <w:spacing w:after="120" w:line="300"/>
        <w:jc w:val="left"/>
      </w:pPr>
      <w:r>
        <w:rPr>
          <w:rFonts w:ascii="Arial" w:cs="Arial" w:eastAsia="Arial" w:hAnsi="Arial"/>
          <w:b w:val="false"/>
          <w:bCs w:val="false"/>
          <w:i w:val="false"/>
          <w:iCs w:val="false"/>
          <w:sz w:val="22"/>
          <w:szCs w:val="22"/>
        </w:rPr>
        <w:t xml:space="preserve">Pillar 1 is agentic instruments — Claude plugins built to twelve structural properties (curated KB, multi-agent workflow, deterministic calculators, risk gate, rendering contract, cross-cutting references, validator, supporting code infrastructure, deployment posture, typed external-data connectors including custom connectors for client-specific systems, quality agentic web search, generative-modality integration). Mindgap is the first internal reference instance.</w:t>
      </w:r>
    </w:p>
    <w:p>
      <w:pPr>
        <w:spacing w:after="120" w:line="300"/>
        <w:jc w:val="left"/>
      </w:pPr>
      <w:r>
        <w:rPr>
          <w:rFonts w:ascii="Arial" w:cs="Arial" w:eastAsia="Arial" w:hAnsi="Arial"/>
          <w:b w:val="false"/>
          <w:bCs w:val="false"/>
          <w:i w:val="false"/>
          <w:iCs w:val="false"/>
          <w:sz w:val="22"/>
          <w:szCs w:val="22"/>
        </w:rPr>
        <w:t xml:space="preserve">Pillar 2 is agentic systems — remote MCP backends, multi-agent pipelines, curated corpora, tenanted identity, and cross-venture composition with the cybersecurity and IoT companies. ATP is the first internal reference instance, with an empirical ~$10-per-report compute profile (approximately $30 per delivered user deliverable under the standard 3× iteration multiplier).</w:t>
      </w:r>
    </w:p>
    <w:p>
      <w:pPr>
        <w:spacing w:after="120" w:line="300"/>
        <w:jc w:val="left"/>
      </w:pPr>
      <w:r>
        <w:rPr>
          <w:rFonts w:ascii="Arial" w:cs="Arial" w:eastAsia="Arial" w:hAnsi="Arial"/>
          <w:b w:val="false"/>
          <w:bCs w:val="false"/>
          <w:i w:val="false"/>
          <w:iCs w:val="false"/>
          <w:sz w:val="22"/>
          <w:szCs w:val="22"/>
        </w:rPr>
        <w:t xml:space="preserve">The two pillars are structurally one product line at two infrastructure intensities, linked by a shared engineering discipline, a Vietnamese connector library that compounds across engagements, and a Pillar-1-to-Pillar-2 graduation path when scale or governance demands push past client-side operation.</w:t>
      </w:r>
    </w:p>
    <w:p>
      <w:pPr>
        <w:spacing w:after="120" w:line="300"/>
        <w:jc w:val="left"/>
      </w:pPr>
      <w:r>
        <w:rPr>
          <w:rFonts w:ascii="Arial" w:cs="Arial" w:eastAsia="Arial" w:hAnsi="Arial"/>
          <w:b w:val="false"/>
          <w:bCs w:val="false"/>
          <w:i w:val="false"/>
          <w:iCs w:val="false"/>
          <w:sz w:val="22"/>
          <w:szCs w:val="22"/>
        </w:rPr>
        <w:t xml:space="preserve">The team starts with a two-person standing configuration — AI Lead (Chief-AI-Officer-class role, 1/3 stated load delivering full-FTE-equivalent output) and Agentic AI Dev (full-time, also acting PO) — plus Bằng's software-architect capacity drawn per engagement from BigSmall for Pillar-2 work. All three rates, and the reference Pillar-2 cost structure, trace to Bằng's QS project quote (1.59 bn VND cost basis over six months for a six-person engagement), which originated this plan. Named hiring triggers expand capacity as workload warrants.</w:t>
      </w:r>
    </w:p>
    <w:p>
      <w:pPr>
        <w:spacing w:after="120" w:line="300"/>
        <w:jc w:val="left"/>
      </w:pPr>
      <w:r>
        <w:rPr>
          <w:rFonts w:ascii="Arial" w:cs="Arial" w:eastAsia="Arial" w:hAnsi="Arial"/>
          <w:b w:val="false"/>
          <w:bCs w:val="false"/>
          <w:i w:val="false"/>
          <w:iCs w:val="false"/>
          <w:sz w:val="22"/>
          <w:szCs w:val="22"/>
        </w:rPr>
        <w:t xml:space="preserve">The team, cost, and reference-instance picture rests on an assumed partnership with BigSmall AI. Mindgap and ATP are cited as BigSmall's portfolio — evidence of the team's demonstrated capability, not IP transferred to the venture. In exchange for that demonstrated capability, talent (Sơn, the Agentic Dev, Bằng), and a favourable cost basis for engagements like the QS quote, BigSmall is expected to hold a large equity share in the AI venture. The specifics of the equity arrangement and any IP-licensing or reference-use terms between BigSmall and the venture are out of this plan's scope.</w:t>
      </w:r>
    </w:p>
    <w:p>
      <w:pPr>
        <w:spacing w:after="120" w:line="300"/>
        <w:jc w:val="left"/>
      </w:pPr>
      <w:r>
        <w:rPr>
          <w:rFonts w:ascii="Arial" w:cs="Arial" w:eastAsia="Arial" w:hAnsi="Arial"/>
          <w:b w:val="false"/>
          <w:bCs w:val="false"/>
          <w:i w:val="false"/>
          <w:iCs w:val="false"/>
          <w:sz w:val="22"/>
          <w:szCs w:val="22"/>
        </w:rPr>
        <w:t xml:space="preserve">Operating principle: always aim for fastest production deployment. Pillar 1 commits to a catalogue with readiness windows calibrated against Mindgap's actual build tempo. Pillar 2 commits to a reference architecture and a mobilisation-readiness window (one to two weeks to scope), not to a product list.</w:t>
      </w:r>
    </w:p>
    <w:p>
      <w:pPr>
        <w:spacing w:after="120" w:line="300"/>
        <w:jc w:val="left"/>
      </w:pPr>
      <w:r>
        <w:rPr>
          <w:rFonts w:ascii="Arial" w:cs="Arial" w:eastAsia="Arial" w:hAnsi="Arial"/>
          <w:b w:val="false"/>
          <w:bCs w:val="false"/>
          <w:i w:val="false"/>
          <w:iCs w:val="false"/>
          <w:sz w:val="22"/>
          <w:szCs w:val="22"/>
        </w:rPr>
        <w:t xml:space="preserve">Market demand, pricing, margins, go-to-market, and commercial competitive positioning are explicitly out of this plan's scope. They belong to the business plan, which takes the AI feasibility and cost-physics outputs of this plan as inputs.</w:t>
      </w:r>
    </w:p>
    <w:p>
      <w:pPr>
        <w:pStyle w:val="Heading1"/>
        <w:spacing w:after="180" w:before="360"/>
      </w:pPr>
      <w:r>
        <w:rPr>
          <w:rFonts w:ascii="Arial" w:cs="Arial" w:eastAsia="Arial" w:hAnsi="Arial"/>
          <w:b/>
          <w:bCs/>
          <w:sz w:val="32"/>
          <w:szCs w:val="32"/>
        </w:rPr>
        <w:t xml:space="preserve">10. References &amp; Sources</w:t>
      </w:r>
    </w:p>
    <w:p>
      <w:pPr>
        <w:spacing w:after="120" w:line="300"/>
        <w:jc w:val="left"/>
      </w:pPr>
      <w:r>
        <w:rPr>
          <w:rFonts w:ascii="Arial" w:cs="Arial" w:eastAsia="Arial" w:hAnsi="Arial"/>
          <w:b w:val="false"/>
          <w:bCs w:val="false"/>
          <w:i w:val="false"/>
          <w:iCs w:val="false"/>
          <w:sz w:val="22"/>
          <w:szCs w:val="22"/>
        </w:rPr>
        <w:t xml:space="preserve">This section documents the sources that underpin the plan. The AI plan's intellectual structure — the twelve-property instrument definition, the two-pillar one-product-line framing, the connector-library idea, the readiness-window model, and the tier language — is original to the drafting process and is not externally cited. Where external sources inform specific claims, they are listed below. Claims that are not cited rest either on internal reference instances (Mindgap, ATP) or on the plan's own reasoning.</w:t>
      </w:r>
    </w:p>
    <w:p>
      <w:pPr>
        <w:pStyle w:val="Heading2"/>
        <w:spacing w:after="140" w:before="280"/>
      </w:pPr>
      <w:r>
        <w:rPr>
          <w:rFonts w:ascii="Arial" w:cs="Arial" w:eastAsia="Arial" w:hAnsi="Arial"/>
          <w:b/>
          <w:bCs/>
          <w:sz w:val="28"/>
          <w:szCs w:val="28"/>
        </w:rPr>
        <w:t xml:space="preserve">10.1 Internal reference instances and origin quote</w:t>
      </w:r>
    </w:p>
    <w:p>
      <w:pPr>
        <w:pStyle w:val="ListParagraph"/>
        <w:numPr>
          <w:ilvl w:val="0"/>
          <w:numId w:val="2"/>
        </w:numPr>
        <w:spacing w:after="80" w:line="300"/>
      </w:pPr>
      <w:r>
        <w:rPr>
          <w:rFonts w:ascii="Arial" w:cs="Arial" w:eastAsia="Arial" w:hAnsi="Arial"/>
          <w:b/>
          <w:bCs/>
          <w:sz w:val="22"/>
          <w:szCs w:val="22"/>
        </w:rPr>
        <w:t xml:space="preserve">Bằng's QS project quote — </w:t>
      </w:r>
      <w:r>
        <w:rPr>
          <w:rFonts w:ascii="Arial" w:cs="Arial" w:eastAsia="Arial" w:hAnsi="Arial"/>
          <w:sz w:val="22"/>
          <w:szCs w:val="22"/>
        </w:rPr>
        <w:t xml:space="preserve">six-month MVP quote by Bằng (BigSmall cofounder) to Hằng for an agentic QS system for her real-estate company. Team of six (AI Lead, Software Architect, PO, 2 devs, 1 QC); 1.59 bn VND cost basis; packaged at 1.2 bn VND plus 30-50% equity for BigSmall on the project. This quote is the origin of this plan (see section 2.6) and the empirical anchor for the salary figures (section 7.2) and Pillar-2 engagement cost structure (section 7.5).</w:t>
      </w:r>
    </w:p>
    <w:p>
      <w:pPr>
        <w:pStyle w:val="ListParagraph"/>
        <w:numPr>
          <w:ilvl w:val="0"/>
          <w:numId w:val="2"/>
        </w:numPr>
        <w:spacing w:after="80" w:line="300"/>
      </w:pPr>
      <w:r>
        <w:rPr>
          <w:rFonts w:ascii="Arial" w:cs="Arial" w:eastAsia="Arial" w:hAnsi="Arial"/>
          <w:b/>
          <w:bCs/>
          <w:sz w:val="22"/>
          <w:szCs w:val="22"/>
        </w:rPr>
        <w:t xml:space="preserve">Mindgap — </w:t>
      </w:r>
      <w:r>
        <w:rPr>
          <w:rFonts w:ascii="Arial" w:cs="Arial" w:eastAsia="Arial" w:hAnsi="Arial"/>
          <w:sz w:val="22"/>
          <w:szCs w:val="22"/>
        </w:rPr>
        <w:t xml:space="preserve">marketing-intelligence Claude plugin, v0.16.1 at time of drafting, with curated knowledge base at version 2026.04-r3. Covers nine user-invocable skills (discover-context, generate-guidelines, analyze-competitors, plan-campaign, create-content, evaluate-content, optimize-content, seo-audit, measure-performance) and five sub-agents. Referenced throughout sections 3.1, 4.2, 5.2, 7. First-party work of BigSmall AI.</w:t>
      </w:r>
    </w:p>
    <w:p>
      <w:pPr>
        <w:pStyle w:val="ListParagraph"/>
        <w:numPr>
          <w:ilvl w:val="0"/>
          <w:numId w:val="2"/>
        </w:numPr>
        <w:spacing w:after="80" w:line="300"/>
      </w:pPr>
      <w:r>
        <w:rPr>
          <w:rFonts w:ascii="Arial" w:cs="Arial" w:eastAsia="Arial" w:hAnsi="Arial"/>
          <w:b/>
          <w:bCs/>
          <w:sz w:val="22"/>
          <w:szCs w:val="22"/>
        </w:rPr>
        <w:t xml:space="preserve">ATP (Agentic Transaction Platform) — </w:t>
      </w:r>
      <w:r>
        <w:rPr>
          <w:rFonts w:ascii="Arial" w:cs="Arial" w:eastAsia="Arial" w:hAnsi="Arial"/>
          <w:sz w:val="22"/>
          <w:szCs w:val="22"/>
        </w:rPr>
        <w:t xml:space="preserve">governance-analysis backend for Vietnamese crypto exchanges. Available at atp.bigsmallai.com. Exposes eight skills (design-feature, spec-feature, review-compliance, review-security, attack-composition, compare-systems, design-protocol, evaluate-legal) via a Claude-side plugin backed by a remote MCP server with OAuth 2.1 authentication. Referenced throughout sections 3.2, 4.3, 5.4, 7.5. First-party work of BigSmall AI.</w:t>
      </w:r>
    </w:p>
    <w:p>
      <w:pPr>
        <w:pStyle w:val="ListParagraph"/>
        <w:numPr>
          <w:ilvl w:val="0"/>
          <w:numId w:val="2"/>
        </w:numPr>
        <w:spacing w:after="80" w:line="300"/>
      </w:pPr>
      <w:r>
        <w:rPr>
          <w:rFonts w:ascii="Arial" w:cs="Arial" w:eastAsia="Arial" w:hAnsi="Arial"/>
          <w:b/>
          <w:bCs/>
          <w:sz w:val="22"/>
          <w:szCs w:val="22"/>
        </w:rPr>
        <w:t xml:space="preserve">Agent Rung — </w:t>
      </w:r>
      <w:r>
        <w:rPr>
          <w:rFonts w:ascii="Arial" w:cs="Arial" w:eastAsia="Arial" w:hAnsi="Arial"/>
          <w:sz w:val="22"/>
          <w:szCs w:val="22"/>
        </w:rPr>
        <w:t xml:space="preserve">first-of-its-kind agentic system that autonomously connects to a real-world Programmable Logic Controller to troubleshoot and fix issues. Web interface at agentrung.ai. Composes AI reasoning (hypothesis loop, multi-vendor agent layer, MCP knowledge pipeline) with real-world actuation (live PLC tag reads and writes via pycomm3). Architecture is built on an Erlang/OTP orchestrator + stateless Python AI sidecar + Svelte frontend, with the PLC accessed via a desktop bridge. Cited in section 2.2 as a Pillar-2 cyber-physical reference instance. First-party work of Panalogy Lab.</w:t>
      </w:r>
    </w:p>
    <w:p>
      <w:pPr>
        <w:pStyle w:val="ListParagraph"/>
        <w:numPr>
          <w:ilvl w:val="0"/>
          <w:numId w:val="2"/>
        </w:numPr>
        <w:spacing w:after="80" w:line="300"/>
      </w:pPr>
      <w:r>
        <w:rPr>
          <w:rFonts w:ascii="Arial" w:cs="Arial" w:eastAsia="Arial" w:hAnsi="Arial"/>
          <w:b/>
          <w:bCs/>
          <w:sz w:val="22"/>
          <w:szCs w:val="22"/>
        </w:rPr>
        <w:t xml:space="preserve">BigSmall AI — </w:t>
      </w:r>
      <w:r>
        <w:rPr>
          <w:rFonts w:ascii="Arial" w:cs="Arial" w:eastAsia="Arial" w:hAnsi="Arial"/>
          <w:sz w:val="22"/>
          <w:szCs w:val="22"/>
        </w:rPr>
        <w:t xml:space="preserve">Vietnam-based AI research lab. Parent context for Mindgap and ATP. https://bigsmallai.com</w:t>
      </w:r>
    </w:p>
    <w:p>
      <w:pPr>
        <w:pStyle w:val="ListParagraph"/>
        <w:numPr>
          <w:ilvl w:val="0"/>
          <w:numId w:val="2"/>
        </w:numPr>
        <w:spacing w:after="80" w:line="300"/>
      </w:pPr>
      <w:r>
        <w:rPr>
          <w:rFonts w:ascii="Arial" w:cs="Arial" w:eastAsia="Arial" w:hAnsi="Arial"/>
          <w:b/>
          <w:bCs/>
          <w:sz w:val="22"/>
          <w:szCs w:val="22"/>
        </w:rPr>
        <w:t xml:space="preserve">Panalogy Lab — </w:t>
      </w:r>
      <w:r>
        <w:rPr>
          <w:rFonts w:ascii="Arial" w:cs="Arial" w:eastAsia="Arial" w:hAnsi="Arial"/>
          <w:sz w:val="22"/>
          <w:szCs w:val="22"/>
        </w:rPr>
        <w:t xml:space="preserve">Queensland, Australia R&amp;D studio building scalable AI tools for decision intelligence. Research themes: Social AI (AI aligned with human behaviour), behavioural modelling, synthetic agents (SurveyLM), adaptive human-centred intelligence (LifeOS), team/decision intelligence (ExpertLM), and agentic AI×IoT ("plug intelligence into devices and environments") — directly relevant to Pillar-2 agentic cyber-physical control and optimization work. Partner of BigSmall AI. https://panalogy-lab.com</w:t>
      </w:r>
    </w:p>
    <w:p>
      <w:pPr>
        <w:pStyle w:val="Heading2"/>
        <w:spacing w:after="140" w:before="280"/>
      </w:pPr>
      <w:r>
        <w:rPr>
          <w:rFonts w:ascii="Arial" w:cs="Arial" w:eastAsia="Arial" w:hAnsi="Arial"/>
          <w:b/>
          <w:bCs/>
          <w:sz w:val="28"/>
          <w:szCs w:val="28"/>
        </w:rPr>
        <w:t xml:space="preserve">10.2 Vietnamese regulatory and policy references</w:t>
      </w:r>
    </w:p>
    <w:p>
      <w:pPr>
        <w:spacing w:after="120" w:line="300"/>
        <w:jc w:val="left"/>
      </w:pPr>
      <w:r>
        <w:rPr>
          <w:rFonts w:ascii="Arial" w:cs="Arial" w:eastAsia="Arial" w:hAnsi="Arial"/>
          <w:b w:val="false"/>
          <w:bCs w:val="false"/>
          <w:i w:val="false"/>
          <w:iCs w:val="false"/>
          <w:sz w:val="22"/>
          <w:szCs w:val="22"/>
        </w:rPr>
        <w:t xml:space="preserve">The plan cites Vietnamese regulations at the level of their existence and issuing body — it does not quote article numbers or verbatim text. Specific provisions would be the scope of a future legal instrument (the evaluate-legal pattern demonstrated by ATP), not of this AI plan. The regulations below are cited because specific instruments or deployment-posture properties rely on their existence.</w:t>
      </w:r>
    </w:p>
    <w:p>
      <w:pPr>
        <w:pStyle w:val="ListParagraph"/>
        <w:numPr>
          <w:ilvl w:val="0"/>
          <w:numId w:val="2"/>
        </w:numPr>
        <w:spacing w:after="80" w:line="300"/>
      </w:pPr>
      <w:r>
        <w:rPr>
          <w:rFonts w:ascii="Arial" w:cs="Arial" w:eastAsia="Arial" w:hAnsi="Arial"/>
          <w:sz w:val="22"/>
          <w:szCs w:val="22"/>
        </w:rPr>
        <w:t xml:space="preserve">Law on Cybersecurity (Luật An ninh mạng) — National Assembly, 2018. Cited in section 3.1 (deployment posture) and section 7.8 (legal templates) as a structural constraint on client-data handling.</w:t>
      </w:r>
    </w:p>
    <w:p>
      <w:pPr>
        <w:pStyle w:val="ListParagraph"/>
        <w:numPr>
          <w:ilvl w:val="0"/>
          <w:numId w:val="2"/>
        </w:numPr>
        <w:spacing w:after="80" w:line="300"/>
      </w:pPr>
      <w:r>
        <w:rPr>
          <w:rFonts w:ascii="Arial" w:cs="Arial" w:eastAsia="Arial" w:hAnsi="Arial"/>
          <w:sz w:val="22"/>
          <w:szCs w:val="22"/>
        </w:rPr>
        <w:t xml:space="preserve">Personal Data Protection Decree — Decree No. 13/2023/NĐ-CP, Government of Vietnam, 2023. Cited in sections 3.1 and 7.8 as the privacy-regulation anchor for the legal template set the venture needs at engagement signing.</w:t>
      </w:r>
    </w:p>
    <w:p>
      <w:pPr>
        <w:pStyle w:val="ListParagraph"/>
        <w:numPr>
          <w:ilvl w:val="0"/>
          <w:numId w:val="2"/>
        </w:numPr>
        <w:spacing w:after="80" w:line="300"/>
      </w:pPr>
      <w:r>
        <w:rPr>
          <w:rFonts w:ascii="Arial" w:cs="Arial" w:eastAsia="Arial" w:hAnsi="Arial"/>
          <w:sz w:val="22"/>
          <w:szCs w:val="22"/>
        </w:rPr>
        <w:t xml:space="preserve">Circular 200/2014/TT-BTC — Ministry of Finance, on accounting systems and VAS. Cited in section 5.2 as the chart-of-accounts anchor for a candidate Vietnamese finance-operations instrument.</w:t>
      </w:r>
    </w:p>
    <w:p>
      <w:pPr>
        <w:pStyle w:val="ListParagraph"/>
        <w:numPr>
          <w:ilvl w:val="0"/>
          <w:numId w:val="2"/>
        </w:numPr>
        <w:spacing w:after="80" w:line="300"/>
      </w:pPr>
      <w:r>
        <w:rPr>
          <w:rFonts w:ascii="Arial" w:cs="Arial" w:eastAsia="Arial" w:hAnsi="Arial"/>
          <w:sz w:val="22"/>
          <w:szCs w:val="22"/>
        </w:rPr>
        <w:t xml:space="preserve">Civil Code 2015 (Bộ luật Dân sự 2015, Law No. 91/2015/QH13) — cited only as the legal corpus ATP draws from; no direct articles cited in this plan.</w:t>
      </w:r>
    </w:p>
    <w:p>
      <w:pPr>
        <w:pStyle w:val="ListParagraph"/>
        <w:numPr>
          <w:ilvl w:val="0"/>
          <w:numId w:val="2"/>
        </w:numPr>
        <w:spacing w:after="80" w:line="300"/>
      </w:pPr>
      <w:r>
        <w:rPr>
          <w:rFonts w:ascii="Arial" w:cs="Arial" w:eastAsia="Arial" w:hAnsi="Arial"/>
          <w:sz w:val="22"/>
          <w:szCs w:val="22"/>
        </w:rPr>
        <w:t xml:space="preserve">Labour Code 2019 (Bộ luật Lao động 2019, Law No. 45/2019/QH14) — cited in section 5.2 as the grounding for a candidate Vietnamese HR-operations instrument.</w:t>
      </w:r>
    </w:p>
    <w:p>
      <w:pPr>
        <w:pStyle w:val="Heading2"/>
        <w:spacing w:after="140" w:before="280"/>
      </w:pPr>
      <w:r>
        <w:rPr>
          <w:rFonts w:ascii="Arial" w:cs="Arial" w:eastAsia="Arial" w:hAnsi="Arial"/>
          <w:b/>
          <w:bCs/>
          <w:sz w:val="28"/>
          <w:szCs w:val="28"/>
        </w:rPr>
        <w:t xml:space="preserve">10.3 Anthropic and Claude platform references</w:t>
      </w:r>
    </w:p>
    <w:p>
      <w:pPr>
        <w:spacing w:after="120" w:line="300"/>
        <w:jc w:val="left"/>
      </w:pPr>
      <w:r>
        <w:rPr>
          <w:rFonts w:ascii="Arial" w:cs="Arial" w:eastAsia="Arial" w:hAnsi="Arial"/>
          <w:b w:val="false"/>
          <w:bCs w:val="false"/>
          <w:i w:val="false"/>
          <w:iCs w:val="false"/>
          <w:sz w:val="22"/>
          <w:szCs w:val="22"/>
        </w:rPr>
        <w:t xml:space="preserve">Anthropic product references are cited at the level of the features the plan depends on. The business plan should track Anthropic's current documentation for up-to-date pricing, tier definitions, and platform terms before committing commercial figures.</w:t>
      </w:r>
    </w:p>
    <w:p>
      <w:pPr>
        <w:pStyle w:val="ListParagraph"/>
        <w:numPr>
          <w:ilvl w:val="0"/>
          <w:numId w:val="2"/>
        </w:numPr>
        <w:spacing w:after="80" w:line="300"/>
      </w:pPr>
      <w:r>
        <w:rPr>
          <w:rFonts w:ascii="Arial" w:cs="Arial" w:eastAsia="Arial" w:hAnsi="Arial"/>
          <w:sz w:val="22"/>
          <w:szCs w:val="22"/>
        </w:rPr>
        <w:t xml:space="preserve">Claude Max subscription — $100/month reference price used as the cost baseline throughout sections 4, 7.1, 7.5. Anthropic's current pricing should be verified at docs.claude.com or anthropic.com; any commercial commitment is the business plan's concern, not this plan's.</w:t>
      </w:r>
    </w:p>
    <w:p>
      <w:pPr>
        <w:pStyle w:val="ListParagraph"/>
        <w:numPr>
          <w:ilvl w:val="0"/>
          <w:numId w:val="2"/>
        </w:numPr>
        <w:spacing w:after="80" w:line="300"/>
      </w:pPr>
      <w:r>
        <w:rPr>
          <w:rFonts w:ascii="Arial" w:cs="Arial" w:eastAsia="Arial" w:hAnsi="Arial"/>
          <w:sz w:val="22"/>
          <w:szCs w:val="22"/>
        </w:rPr>
        <w:t xml:space="preserve">Claude plugin / skill contract — Anthropic's skill and plugin specification as the base on which the twelve-property instrument definition builds. Referenced throughout sections 3.1, 4.2.</w:t>
      </w:r>
    </w:p>
    <w:p>
      <w:pPr>
        <w:pStyle w:val="ListParagraph"/>
        <w:numPr>
          <w:ilvl w:val="0"/>
          <w:numId w:val="2"/>
        </w:numPr>
        <w:spacing w:after="80" w:line="300"/>
      </w:pPr>
      <w:r>
        <w:rPr>
          <w:rFonts w:ascii="Arial" w:cs="Arial" w:eastAsia="Arial" w:hAnsi="Arial"/>
          <w:sz w:val="22"/>
          <w:szCs w:val="22"/>
        </w:rPr>
        <w:t xml:space="preserve">Model Context Protocol (MCP) — the protocol used by ATP for its remote backend and by the venture's custom connectors. Referenced throughout sections 3.2, 5.3, 5.4. Specification at modelcontextprotocol.io.</w:t>
      </w:r>
    </w:p>
    <w:p>
      <w:pPr>
        <w:pStyle w:val="ListParagraph"/>
        <w:numPr>
          <w:ilvl w:val="0"/>
          <w:numId w:val="2"/>
        </w:numPr>
        <w:spacing w:after="80" w:line="300"/>
      </w:pPr>
      <w:r>
        <w:rPr>
          <w:rFonts w:ascii="Arial" w:cs="Arial" w:eastAsia="Arial" w:hAnsi="Arial"/>
          <w:sz w:val="22"/>
          <w:szCs w:val="22"/>
        </w:rPr>
        <w:t xml:space="preserve">Anthropic product documentation — docs.claude.com, support.claude.com.</w:t>
      </w:r>
    </w:p>
    <w:p>
      <w:pPr>
        <w:pStyle w:val="Heading2"/>
        <w:spacing w:after="140" w:before="280"/>
      </w:pPr>
      <w:r>
        <w:rPr>
          <w:rFonts w:ascii="Arial" w:cs="Arial" w:eastAsia="Arial" w:hAnsi="Arial"/>
          <w:b/>
          <w:bCs/>
          <w:sz w:val="28"/>
          <w:szCs w:val="28"/>
        </w:rPr>
        <w:t xml:space="preserve">10.4 Generative-modality providers (cited as integration targets)</w:t>
      </w:r>
    </w:p>
    <w:p>
      <w:pPr>
        <w:spacing w:after="120" w:line="300"/>
        <w:jc w:val="left"/>
      </w:pPr>
      <w:r>
        <w:rPr>
          <w:rFonts w:ascii="Arial" w:cs="Arial" w:eastAsia="Arial" w:hAnsi="Arial"/>
          <w:b w:val="false"/>
          <w:bCs w:val="false"/>
          <w:i w:val="false"/>
          <w:iCs w:val="false"/>
          <w:sz w:val="22"/>
          <w:szCs w:val="22"/>
        </w:rPr>
        <w:t xml:space="preserve">Mindgap's create-content skill generates prompts for the following models. The plan cites them as integration targets, not as endorsements or preferred vendors. Model choice within any instrument is a routing decision made at runtime against quality, cost, and latency criteria.</w:t>
      </w:r>
    </w:p>
    <w:p>
      <w:pPr>
        <w:pStyle w:val="ListParagraph"/>
        <w:numPr>
          <w:ilvl w:val="0"/>
          <w:numId w:val="2"/>
        </w:numPr>
        <w:spacing w:after="80" w:line="300"/>
      </w:pPr>
      <w:r>
        <w:rPr>
          <w:rFonts w:ascii="Arial" w:cs="Arial" w:eastAsia="Arial" w:hAnsi="Arial"/>
          <w:sz w:val="22"/>
          <w:szCs w:val="22"/>
        </w:rPr>
        <w:t xml:space="preserve">OpenAI GPT Image, Midjourney, Flux — image generation.</w:t>
      </w:r>
    </w:p>
    <w:p>
      <w:pPr>
        <w:pStyle w:val="ListParagraph"/>
        <w:numPr>
          <w:ilvl w:val="0"/>
          <w:numId w:val="2"/>
        </w:numPr>
        <w:spacing w:after="80" w:line="300"/>
      </w:pPr>
      <w:r>
        <w:rPr>
          <w:rFonts w:ascii="Arial" w:cs="Arial" w:eastAsia="Arial" w:hAnsi="Arial"/>
          <w:sz w:val="22"/>
          <w:szCs w:val="22"/>
        </w:rPr>
        <w:t xml:space="preserve">OpenAI Sora, Google Veo 3.1, Runway — video generation.</w:t>
      </w:r>
    </w:p>
    <w:p>
      <w:pPr>
        <w:pStyle w:val="Heading2"/>
        <w:spacing w:after="140" w:before="280"/>
      </w:pPr>
      <w:r>
        <w:rPr>
          <w:rFonts w:ascii="Arial" w:cs="Arial" w:eastAsia="Arial" w:hAnsi="Arial"/>
          <w:b/>
          <w:bCs/>
          <w:sz w:val="28"/>
          <w:szCs w:val="28"/>
        </w:rPr>
        <w:t xml:space="preserve">10.5 Vietnamese technical-infrastructure context</w:t>
      </w:r>
    </w:p>
    <w:p>
      <w:pPr>
        <w:spacing w:after="120" w:line="300"/>
        <w:jc w:val="left"/>
      </w:pPr>
      <w:r>
        <w:rPr>
          <w:rFonts w:ascii="Arial" w:cs="Arial" w:eastAsia="Arial" w:hAnsi="Arial"/>
          <w:b w:val="false"/>
          <w:bCs w:val="false"/>
          <w:i w:val="false"/>
          <w:iCs w:val="false"/>
          <w:sz w:val="22"/>
          <w:szCs w:val="22"/>
        </w:rPr>
        <w:t xml:space="preserve">Vietnamese-market technical infrastructure referenced by the plan — primarily in section 5.3 (connector library) as deployment targets for custom connector engineering. No quantitative market claims are made; market sizing is the business plan's to make.</w:t>
      </w:r>
    </w:p>
    <w:p>
      <w:pPr>
        <w:pStyle w:val="ListParagraph"/>
        <w:numPr>
          <w:ilvl w:val="0"/>
          <w:numId w:val="2"/>
        </w:numPr>
        <w:spacing w:after="80" w:line="300"/>
      </w:pPr>
      <w:r>
        <w:rPr>
          <w:rFonts w:ascii="Arial" w:cs="Arial" w:eastAsia="Arial" w:hAnsi="Arial"/>
          <w:sz w:val="22"/>
          <w:szCs w:val="22"/>
        </w:rPr>
        <w:t xml:space="preserve">Vietnamese local ERPs referenced in the connector-library section — MISA, Bravo, Fast Accounting, Effect. Cited as deployment targets for custom connectors.</w:t>
      </w:r>
    </w:p>
    <w:p>
      <w:pPr>
        <w:pStyle w:val="ListParagraph"/>
        <w:numPr>
          <w:ilvl w:val="0"/>
          <w:numId w:val="2"/>
        </w:numPr>
        <w:spacing w:after="80" w:line="300"/>
      </w:pPr>
      <w:r>
        <w:rPr>
          <w:rFonts w:ascii="Arial" w:cs="Arial" w:eastAsia="Arial" w:hAnsi="Arial"/>
          <w:sz w:val="22"/>
          <w:szCs w:val="22"/>
        </w:rPr>
        <w:t xml:space="preserve">Vietnamese e-invoice providers referenced — MISA, Viettel, FPT. Cited as deployment targets for custom connectors.</w:t>
      </w:r>
    </w:p>
    <w:p>
      <w:pPr>
        <w:pStyle w:val="ListParagraph"/>
        <w:numPr>
          <w:ilvl w:val="0"/>
          <w:numId w:val="2"/>
        </w:numPr>
        <w:spacing w:after="80" w:line="300"/>
      </w:pPr>
      <w:r>
        <w:rPr>
          <w:rFonts w:ascii="Arial" w:cs="Arial" w:eastAsia="Arial" w:hAnsi="Arial"/>
          <w:sz w:val="22"/>
          <w:szCs w:val="22"/>
        </w:rPr>
        <w:t xml:space="preserve">Vietnamese messaging platforms referenced — Zalo (including Zalo Official Account archives). Cited as deployment targets for custom connectors.</w:t>
      </w:r>
    </w:p>
    <w:p>
      <w:pPr>
        <w:pStyle w:val="Heading2"/>
        <w:spacing w:after="140" w:before="280"/>
      </w:pPr>
      <w:r>
        <w:rPr>
          <w:rFonts w:ascii="Arial" w:cs="Arial" w:eastAsia="Arial" w:hAnsi="Arial"/>
          <w:b/>
          <w:bCs/>
          <w:sz w:val="28"/>
          <w:szCs w:val="28"/>
        </w:rPr>
        <w:t xml:space="preserve">10.6 Claims that rest on the plan's own reasoning</w:t>
      </w:r>
    </w:p>
    <w:p>
      <w:pPr>
        <w:spacing w:after="120" w:line="300"/>
        <w:jc w:val="left"/>
      </w:pPr>
      <w:r>
        <w:rPr>
          <w:rFonts w:ascii="Arial" w:cs="Arial" w:eastAsia="Arial" w:hAnsi="Arial"/>
          <w:b w:val="false"/>
          <w:bCs w:val="false"/>
          <w:i w:val="false"/>
          <w:iCs w:val="false"/>
          <w:sz w:val="22"/>
          <w:szCs w:val="22"/>
        </w:rPr>
        <w:t xml:space="preserve">The following structural contributions of this plan are original to the drafting process and are not externally cited:</w:t>
      </w:r>
    </w:p>
    <w:p>
      <w:pPr>
        <w:pStyle w:val="ListParagraph"/>
        <w:numPr>
          <w:ilvl w:val="0"/>
          <w:numId w:val="2"/>
        </w:numPr>
        <w:spacing w:after="80" w:line="300"/>
      </w:pPr>
      <w:r>
        <w:rPr>
          <w:rFonts w:ascii="Arial" w:cs="Arial" w:eastAsia="Arial" w:hAnsi="Arial"/>
          <w:sz w:val="22"/>
          <w:szCs w:val="22"/>
        </w:rPr>
        <w:t xml:space="preserve">The twelve-property definition of an agentic instrument (section 3.1) — generalised from Mindgap's observed architecture.</w:t>
      </w:r>
    </w:p>
    <w:p>
      <w:pPr>
        <w:pStyle w:val="ListParagraph"/>
        <w:numPr>
          <w:ilvl w:val="0"/>
          <w:numId w:val="2"/>
        </w:numPr>
        <w:spacing w:after="80" w:line="300"/>
      </w:pPr>
      <w:r>
        <w:rPr>
          <w:rFonts w:ascii="Arial" w:cs="Arial" w:eastAsia="Arial" w:hAnsi="Arial"/>
          <w:sz w:val="22"/>
          <w:szCs w:val="22"/>
        </w:rPr>
        <w:t xml:space="preserve">The two-pillar one-product-line framing (sections 1, 3, 5.5) — derived from the observation that Mindgap and ATP are instances of the same engineering posture at two infrastructure intensities.</w:t>
      </w:r>
    </w:p>
    <w:p>
      <w:pPr>
        <w:pStyle w:val="ListParagraph"/>
        <w:numPr>
          <w:ilvl w:val="0"/>
          <w:numId w:val="2"/>
        </w:numPr>
        <w:spacing w:after="80" w:line="300"/>
      </w:pPr>
      <w:r>
        <w:rPr>
          <w:rFonts w:ascii="Arial" w:cs="Arial" w:eastAsia="Arial" w:hAnsi="Arial"/>
          <w:sz w:val="22"/>
          <w:szCs w:val="22"/>
        </w:rPr>
        <w:t xml:space="preserve">The three-tier clustering of properties (defining / domain-triggered / scale-triggered) (section 3.1).</w:t>
      </w:r>
    </w:p>
    <w:p>
      <w:pPr>
        <w:pStyle w:val="ListParagraph"/>
        <w:numPr>
          <w:ilvl w:val="0"/>
          <w:numId w:val="2"/>
        </w:numPr>
        <w:spacing w:after="80" w:line="300"/>
      </w:pPr>
      <w:r>
        <w:rPr>
          <w:rFonts w:ascii="Arial" w:cs="Arial" w:eastAsia="Arial" w:hAnsi="Arial"/>
          <w:sz w:val="22"/>
          <w:szCs w:val="22"/>
        </w:rPr>
        <w:t xml:space="preserve">The tier language for client engagements (thin skills / instruments / backend-bound systems) (section 3.1).</w:t>
      </w:r>
    </w:p>
    <w:p>
      <w:pPr>
        <w:pStyle w:val="ListParagraph"/>
        <w:numPr>
          <w:ilvl w:val="0"/>
          <w:numId w:val="2"/>
        </w:numPr>
        <w:spacing w:after="80" w:line="300"/>
      </w:pPr>
      <w:r>
        <w:rPr>
          <w:rFonts w:ascii="Arial" w:cs="Arial" w:eastAsia="Arial" w:hAnsi="Arial"/>
          <w:sz w:val="22"/>
          <w:szCs w:val="22"/>
        </w:rPr>
        <w:t xml:space="preserve">The context-assumed framing that keeps the AI plan separate from market-demand argument (section 2).</w:t>
      </w:r>
    </w:p>
    <w:p>
      <w:pPr>
        <w:pStyle w:val="ListParagraph"/>
        <w:numPr>
          <w:ilvl w:val="0"/>
          <w:numId w:val="2"/>
        </w:numPr>
        <w:spacing w:after="80" w:line="300"/>
      </w:pPr>
      <w:r>
        <w:rPr>
          <w:rFonts w:ascii="Arial" w:cs="Arial" w:eastAsia="Arial" w:hAnsi="Arial"/>
          <w:sz w:val="22"/>
          <w:szCs w:val="22"/>
        </w:rPr>
        <w:t xml:space="preserve">The framing of the BigSmall partnership as a structural assumption of the plan's cost model, with equity terms explicitly out of scope (section 2.7).</w:t>
      </w:r>
    </w:p>
    <w:p>
      <w:pPr>
        <w:pStyle w:val="ListParagraph"/>
        <w:numPr>
          <w:ilvl w:val="0"/>
          <w:numId w:val="2"/>
        </w:numPr>
        <w:spacing w:after="80" w:line="300"/>
      </w:pPr>
      <w:r>
        <w:rPr>
          <w:rFonts w:ascii="Arial" w:cs="Arial" w:eastAsia="Arial" w:hAnsi="Arial"/>
          <w:sz w:val="22"/>
          <w:szCs w:val="22"/>
        </w:rPr>
        <w:t xml:space="preserve">The readiness-window model (ready now / one-window / two-window) (section 5.2).</w:t>
      </w:r>
    </w:p>
    <w:p>
      <w:pPr>
        <w:pStyle w:val="ListParagraph"/>
        <w:numPr>
          <w:ilvl w:val="0"/>
          <w:numId w:val="2"/>
        </w:numPr>
        <w:spacing w:after="80" w:line="300"/>
      </w:pPr>
      <w:r>
        <w:rPr>
          <w:rFonts w:ascii="Arial" w:cs="Arial" w:eastAsia="Arial" w:hAnsi="Arial"/>
          <w:sz w:val="22"/>
          <w:szCs w:val="22"/>
        </w:rPr>
        <w:t xml:space="preserve">The generation-velocity vs deployment-velocity distinction (section 5.1).</w:t>
      </w:r>
    </w:p>
    <w:p>
      <w:pPr>
        <w:pStyle w:val="ListParagraph"/>
        <w:numPr>
          <w:ilvl w:val="0"/>
          <w:numId w:val="2"/>
        </w:numPr>
        <w:spacing w:after="80" w:line="300"/>
      </w:pPr>
      <w:r>
        <w:rPr>
          <w:rFonts w:ascii="Arial" w:cs="Arial" w:eastAsia="Arial" w:hAnsi="Arial"/>
          <w:sz w:val="22"/>
          <w:szCs w:val="22"/>
        </w:rPr>
        <w:t xml:space="preserve">The Vietnamese connector library as a compounding Pillar-1 asset and Pillar-1-to-Pillar-2 graduation scaffold (sections 5.3, 5.5).</w:t>
      </w:r>
    </w:p>
    <w:p>
      <w:pPr>
        <w:pStyle w:val="ListParagraph"/>
        <w:numPr>
          <w:ilvl w:val="0"/>
          <w:numId w:val="2"/>
        </w:numPr>
        <w:spacing w:after="80" w:line="300"/>
      </w:pPr>
      <w:r>
        <w:rPr>
          <w:rFonts w:ascii="Arial" w:cs="Arial" w:eastAsia="Arial" w:hAnsi="Arial"/>
          <w:sz w:val="22"/>
          <w:szCs w:val="22"/>
        </w:rPr>
        <w:t xml:space="preserve">The 3× iteration multiplier as a default design assumption for per-run compute cost (section 7.5).</w:t>
      </w:r>
    </w:p>
    <w:p>
      <w:pPr>
        <w:pStyle w:val="ListParagraph"/>
        <w:numPr>
          <w:ilvl w:val="0"/>
          <w:numId w:val="2"/>
        </w:numPr>
        <w:spacing w:after="80" w:line="300"/>
      </w:pPr>
      <w:r>
        <w:rPr>
          <w:rFonts w:ascii="Arial" w:cs="Arial" w:eastAsia="Arial" w:hAnsi="Arial"/>
          <w:sz w:val="22"/>
          <w:szCs w:val="22"/>
        </w:rPr>
        <w:t xml:space="preserve">The hiring-trigger model for team expansion (section 6.3, 6.4).</w:t>
      </w:r>
    </w:p>
    <w:p>
      <w:pPr>
        <w:spacing w:after="120" w:line="300"/>
        <w:jc w:val="left"/>
      </w:pPr>
      <w:r>
        <w:rPr>
          <w:rFonts w:ascii="Arial" w:cs="Arial" w:eastAsia="Arial" w:hAnsi="Arial"/>
          <w:i/>
          <w:iCs/>
          <w:sz w:val="22"/>
          <w:szCs w:val="22"/>
        </w:rPr>
        <w:t xml:space="preserve">These contributions are the IP of the AI venture and its AI Lead. Subsequent external citation of this plan's framing should attribute accordingly.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8"/>
        <w:szCs w:val="18"/>
      </w:rPr>
      <w:t xml:space="preserve">Page </w:t>
    </w:r>
    <w:r>
      <w:rPr>
        <w:rFonts w:ascii="Arial" w:cs="Arial" w:eastAsia="Arial" w:hAnsi="Arial"/>
        <w:color w:val="808080"/>
        <w:sz w:val="18"/>
        <w:szCs w:val="18"/>
      </w:rPr>
      <w:fldChar w:fldCharType="begin"/>
      <w:instrText xml:space="preserve">PAGE</w:instrText>
      <w:fldChar w:fldCharType="separate"/>
      <w:fldChar w:fldCharType="end"/>
    </w:r>
    <w:r>
      <w:rPr>
        <w:rFonts w:ascii="Arial" w:cs="Arial" w:eastAsia="Arial" w:hAnsi="Arial"/>
        <w:color w:val="808080"/>
        <w:sz w:val="18"/>
        <w:szCs w:val="18"/>
      </w:rPr>
      <w:t xml:space="preserve"> of </w:t>
    </w:r>
    <w:r>
      <w:rPr>
        <w:rFonts w:ascii="Arial" w:cs="Arial" w:eastAsia="Arial" w:hAnsi="Arial"/>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08080"/>
        <w:sz w:val="18"/>
        <w:szCs w:val="18"/>
      </w:rPr>
      <w:t xml:space="preserve">AI Plan — AI Venture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Plan — AI Venture under the Innovation Centre</dc:title>
  <dc:creator>Sơn</dc:creator>
  <dc:description>AI feasibility plan for an AI venture in the Innovation Centre — agentic instruments (Pillar 1) and agentic systems (Pillar 2) for Vietnamese businesses and government.</dc:description>
  <cp:lastModifiedBy>Un-named</cp:lastModifiedBy>
  <cp:revision>1</cp:revision>
  <dcterms:created xsi:type="dcterms:W3CDTF">2026-04-24T12:58:40.606Z</dcterms:created>
  <dcterms:modified xsi:type="dcterms:W3CDTF">2026-04-24T12:58:40.606Z</dcterms:modified>
</cp:coreProperties>
</file>

<file path=docProps/custom.xml><?xml version="1.0" encoding="utf-8"?>
<Properties xmlns="http://schemas.openxmlformats.org/officeDocument/2006/custom-properties" xmlns:vt="http://schemas.openxmlformats.org/officeDocument/2006/docPropsVTypes"/>
</file>